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2C" w:rsidRDefault="00C314B9">
      <w:pPr>
        <w:jc w:val="center"/>
        <w:rPr>
          <w:b/>
          <w:bCs/>
          <w:sz w:val="32"/>
          <w:szCs w:val="40"/>
        </w:rPr>
      </w:pPr>
      <w:r>
        <w:rPr>
          <w:rFonts w:hint="eastAsia"/>
          <w:b/>
          <w:bCs/>
          <w:sz w:val="32"/>
          <w:szCs w:val="40"/>
        </w:rPr>
        <w:t>ACCA</w:t>
      </w:r>
      <w:r>
        <w:rPr>
          <w:rFonts w:hint="eastAsia"/>
          <w:b/>
          <w:bCs/>
          <w:sz w:val="32"/>
          <w:szCs w:val="40"/>
        </w:rPr>
        <w:t>培养目标</w:t>
      </w:r>
      <w:r>
        <w:rPr>
          <w:rFonts w:hint="eastAsia"/>
          <w:b/>
          <w:bCs/>
          <w:sz w:val="32"/>
          <w:szCs w:val="40"/>
        </w:rPr>
        <w:t>及</w:t>
      </w:r>
      <w:r>
        <w:rPr>
          <w:rFonts w:hint="eastAsia"/>
          <w:b/>
          <w:bCs/>
          <w:sz w:val="32"/>
          <w:szCs w:val="40"/>
        </w:rPr>
        <w:t>课程</w:t>
      </w:r>
      <w:r>
        <w:rPr>
          <w:rFonts w:hint="eastAsia"/>
          <w:b/>
          <w:bCs/>
          <w:sz w:val="32"/>
          <w:szCs w:val="40"/>
        </w:rPr>
        <w:t>方案</w:t>
      </w:r>
    </w:p>
    <w:p w:rsidR="00D9112C" w:rsidRDefault="00C314B9">
      <w:pPr>
        <w:rPr>
          <w:b/>
          <w:bCs/>
          <w:sz w:val="28"/>
          <w:szCs w:val="36"/>
        </w:rPr>
      </w:pPr>
      <w:proofErr w:type="gramStart"/>
      <w:r>
        <w:rPr>
          <w:rFonts w:hint="eastAsia"/>
          <w:b/>
          <w:bCs/>
          <w:sz w:val="28"/>
          <w:szCs w:val="36"/>
        </w:rPr>
        <w:t>一</w:t>
      </w:r>
      <w:proofErr w:type="gramEnd"/>
      <w:r>
        <w:rPr>
          <w:rFonts w:hint="eastAsia"/>
          <w:b/>
          <w:bCs/>
          <w:sz w:val="28"/>
          <w:szCs w:val="36"/>
        </w:rPr>
        <w:t>：</w:t>
      </w:r>
      <w:r>
        <w:rPr>
          <w:rFonts w:hint="eastAsia"/>
          <w:b/>
          <w:bCs/>
          <w:sz w:val="28"/>
          <w:szCs w:val="36"/>
        </w:rPr>
        <w:t>培养目标</w:t>
      </w:r>
    </w:p>
    <w:p w:rsidR="00D9112C" w:rsidRDefault="00C314B9">
      <w:pPr>
        <w:pStyle w:val="1"/>
        <w:numPr>
          <w:ilvl w:val="0"/>
          <w:numId w:val="1"/>
        </w:numPr>
        <w:spacing w:line="360" w:lineRule="auto"/>
        <w:ind w:firstLineChars="0"/>
        <w:jc w:val="left"/>
        <w:rPr>
          <w:rFonts w:ascii="微软雅黑" w:eastAsia="微软雅黑" w:hAnsi="微软雅黑"/>
          <w:sz w:val="24"/>
        </w:rPr>
      </w:pPr>
      <w:r>
        <w:rPr>
          <w:rFonts w:ascii="微软雅黑" w:eastAsia="微软雅黑" w:hAnsi="微软雅黑" w:hint="eastAsia"/>
          <w:sz w:val="24"/>
        </w:rPr>
        <w:t>建设具有</w:t>
      </w:r>
      <w:r>
        <w:rPr>
          <w:rFonts w:ascii="微软雅黑" w:eastAsia="微软雅黑" w:hAnsi="微软雅黑" w:hint="eastAsia"/>
          <w:sz w:val="24"/>
        </w:rPr>
        <w:t>商</w:t>
      </w:r>
      <w:r>
        <w:rPr>
          <w:rFonts w:ascii="微软雅黑" w:eastAsia="微软雅黑" w:hAnsi="微软雅黑" w:hint="eastAsia"/>
          <w:sz w:val="24"/>
        </w:rPr>
        <w:t>学院特色的</w:t>
      </w:r>
      <w:r>
        <w:rPr>
          <w:rFonts w:ascii="微软雅黑" w:eastAsia="微软雅黑" w:hAnsi="微软雅黑" w:hint="eastAsia"/>
          <w:sz w:val="24"/>
        </w:rPr>
        <w:t>ACCA</w:t>
      </w:r>
      <w:r>
        <w:rPr>
          <w:rFonts w:ascii="微软雅黑" w:eastAsia="微软雅黑" w:hAnsi="微软雅黑" w:hint="eastAsia"/>
          <w:sz w:val="24"/>
        </w:rPr>
        <w:t>创新实验班</w:t>
      </w:r>
    </w:p>
    <w:p w:rsidR="00D9112C" w:rsidRDefault="00C314B9">
      <w:pPr>
        <w:pStyle w:val="1"/>
        <w:numPr>
          <w:ilvl w:val="0"/>
          <w:numId w:val="1"/>
        </w:numPr>
        <w:spacing w:line="360" w:lineRule="auto"/>
        <w:ind w:firstLineChars="0"/>
        <w:jc w:val="left"/>
        <w:rPr>
          <w:rFonts w:ascii="微软雅黑" w:eastAsia="微软雅黑" w:hAnsi="微软雅黑"/>
          <w:sz w:val="24"/>
        </w:rPr>
      </w:pPr>
      <w:r>
        <w:rPr>
          <w:rFonts w:ascii="微软雅黑" w:eastAsia="微软雅黑" w:hAnsi="微软雅黑" w:hint="eastAsia"/>
          <w:sz w:val="24"/>
        </w:rPr>
        <w:t>培养一批具备职业能力和职业素质的高层次人才</w:t>
      </w:r>
    </w:p>
    <w:p w:rsidR="00D9112C" w:rsidRDefault="00C314B9">
      <w:pPr>
        <w:pStyle w:val="1"/>
        <w:numPr>
          <w:ilvl w:val="0"/>
          <w:numId w:val="1"/>
        </w:numPr>
        <w:spacing w:line="360" w:lineRule="auto"/>
        <w:ind w:firstLineChars="0"/>
        <w:jc w:val="left"/>
        <w:rPr>
          <w:rFonts w:ascii="微软雅黑" w:eastAsia="微软雅黑" w:hAnsi="微软雅黑"/>
          <w:sz w:val="24"/>
        </w:rPr>
      </w:pPr>
      <w:r>
        <w:rPr>
          <w:rFonts w:ascii="微软雅黑" w:eastAsia="微软雅黑" w:hAnsi="微软雅黑"/>
          <w:sz w:val="24"/>
        </w:rPr>
        <w:t>使学生能够娴熟掌握财务金融专业英语听、说、读、写技能。</w:t>
      </w:r>
    </w:p>
    <w:p w:rsidR="00D9112C" w:rsidRDefault="00C314B9">
      <w:pPr>
        <w:pStyle w:val="1"/>
        <w:numPr>
          <w:ilvl w:val="0"/>
          <w:numId w:val="1"/>
        </w:numPr>
        <w:spacing w:line="360" w:lineRule="auto"/>
        <w:ind w:firstLineChars="0"/>
        <w:jc w:val="left"/>
        <w:rPr>
          <w:rFonts w:ascii="微软雅黑" w:eastAsia="微软雅黑" w:hAnsi="微软雅黑"/>
          <w:sz w:val="24"/>
        </w:rPr>
      </w:pPr>
      <w:r>
        <w:rPr>
          <w:rFonts w:ascii="微软雅黑" w:eastAsia="微软雅黑" w:hAnsi="微软雅黑" w:hint="eastAsia"/>
          <w:sz w:val="24"/>
        </w:rPr>
        <w:t>使学生</w:t>
      </w:r>
      <w:r>
        <w:rPr>
          <w:rFonts w:ascii="微软雅黑" w:eastAsia="微软雅黑" w:hAnsi="微软雅黑"/>
          <w:sz w:val="24"/>
        </w:rPr>
        <w:t>具有完整国际财务知识架构，能够胜任大型集团企业、金融投资机构、涉外跨国公司、会计审计事务所、证券金融等行业与公司相关财会审计工作的高级人才。</w:t>
      </w:r>
    </w:p>
    <w:p w:rsidR="00D9112C" w:rsidRDefault="00C314B9">
      <w:pPr>
        <w:pStyle w:val="1"/>
        <w:numPr>
          <w:ilvl w:val="0"/>
          <w:numId w:val="1"/>
        </w:numPr>
        <w:spacing w:line="360" w:lineRule="auto"/>
        <w:ind w:firstLineChars="0"/>
        <w:jc w:val="left"/>
        <w:rPr>
          <w:rFonts w:ascii="微软雅黑" w:eastAsia="微软雅黑" w:hAnsi="微软雅黑"/>
          <w:sz w:val="24"/>
        </w:rPr>
      </w:pPr>
      <w:r>
        <w:rPr>
          <w:rFonts w:ascii="微软雅黑" w:eastAsia="微软雅黑" w:hAnsi="微软雅黑" w:hint="eastAsia"/>
          <w:sz w:val="24"/>
        </w:rPr>
        <w:t>培养</w:t>
      </w:r>
      <w:r>
        <w:rPr>
          <w:rFonts w:ascii="微软雅黑" w:eastAsia="微软雅黑" w:hAnsi="微软雅黑"/>
          <w:sz w:val="24"/>
        </w:rPr>
        <w:t>具有较强执业能力和创新精神的国际化高端会计人才。</w:t>
      </w:r>
    </w:p>
    <w:p w:rsidR="00D9112C" w:rsidRDefault="00C314B9">
      <w:pPr>
        <w:pStyle w:val="1"/>
        <w:numPr>
          <w:ilvl w:val="0"/>
          <w:numId w:val="1"/>
        </w:numPr>
        <w:spacing w:line="360" w:lineRule="auto"/>
        <w:ind w:firstLineChars="0"/>
        <w:jc w:val="left"/>
        <w:rPr>
          <w:rFonts w:ascii="微软雅黑" w:eastAsia="微软雅黑" w:hAnsi="微软雅黑"/>
          <w:sz w:val="24"/>
        </w:rPr>
      </w:pPr>
      <w:r>
        <w:rPr>
          <w:rFonts w:ascii="微软雅黑" w:eastAsia="微软雅黑" w:hAnsi="微软雅黑"/>
          <w:sz w:val="24"/>
        </w:rPr>
        <w:t>让学生拥有广阔国际商业视野、具备企业经营者思维模式。</w:t>
      </w:r>
    </w:p>
    <w:p w:rsidR="00D9112C" w:rsidRDefault="00C314B9">
      <w:pPr>
        <w:pStyle w:val="1"/>
        <w:numPr>
          <w:ilvl w:val="0"/>
          <w:numId w:val="1"/>
        </w:numPr>
        <w:spacing w:line="360" w:lineRule="auto"/>
        <w:ind w:firstLineChars="0"/>
        <w:jc w:val="left"/>
        <w:rPr>
          <w:rFonts w:ascii="微软雅黑" w:eastAsia="微软雅黑" w:hAnsi="微软雅黑"/>
          <w:sz w:val="24"/>
        </w:rPr>
      </w:pPr>
      <w:r>
        <w:rPr>
          <w:rFonts w:ascii="微软雅黑" w:eastAsia="微软雅黑" w:hAnsi="微软雅黑" w:hint="eastAsia"/>
          <w:sz w:val="24"/>
        </w:rPr>
        <w:t>学生在毕业时不仅拿到本科毕业证书，同时帮助有能力的同学获取牛津布鲁克斯大学硕士学士学位，并获取</w:t>
      </w:r>
      <w:r>
        <w:rPr>
          <w:rFonts w:ascii="微软雅黑" w:eastAsia="微软雅黑" w:hAnsi="微软雅黑" w:hint="eastAsia"/>
          <w:sz w:val="24"/>
        </w:rPr>
        <w:t>ACCA</w:t>
      </w:r>
      <w:r>
        <w:rPr>
          <w:rFonts w:ascii="微软雅黑" w:eastAsia="微软雅黑" w:hAnsi="微软雅黑" w:hint="eastAsia"/>
          <w:sz w:val="24"/>
        </w:rPr>
        <w:t>资格认证。</w:t>
      </w:r>
    </w:p>
    <w:p w:rsidR="00D9112C" w:rsidRDefault="00D9112C">
      <w:pPr>
        <w:numPr>
          <w:ilvl w:val="255"/>
          <w:numId w:val="0"/>
        </w:numPr>
        <w:spacing w:line="360" w:lineRule="auto"/>
        <w:rPr>
          <w:sz w:val="24"/>
          <w:szCs w:val="32"/>
        </w:rPr>
      </w:pPr>
    </w:p>
    <w:p w:rsidR="00D9112C" w:rsidRDefault="00D9112C">
      <w:pPr>
        <w:spacing w:line="360" w:lineRule="auto"/>
        <w:rPr>
          <w:b/>
          <w:bCs/>
          <w:sz w:val="24"/>
          <w:szCs w:val="32"/>
        </w:rPr>
      </w:pPr>
    </w:p>
    <w:p w:rsidR="00D9112C" w:rsidRDefault="00C314B9">
      <w:pPr>
        <w:spacing w:line="360" w:lineRule="auto"/>
        <w:rPr>
          <w:b/>
          <w:bCs/>
          <w:sz w:val="24"/>
          <w:szCs w:val="32"/>
        </w:rPr>
      </w:pPr>
      <w:r>
        <w:rPr>
          <w:rFonts w:hint="eastAsia"/>
          <w:b/>
          <w:bCs/>
          <w:sz w:val="24"/>
          <w:szCs w:val="32"/>
        </w:rPr>
        <w:t>二</w:t>
      </w:r>
      <w:r>
        <w:rPr>
          <w:rFonts w:hint="eastAsia"/>
          <w:b/>
          <w:bCs/>
          <w:sz w:val="24"/>
          <w:szCs w:val="32"/>
        </w:rPr>
        <w:t>：教学安排：</w:t>
      </w:r>
    </w:p>
    <w:tbl>
      <w:tblPr>
        <w:tblW w:w="9280" w:type="dxa"/>
        <w:tblLayout w:type="fixed"/>
        <w:tblLook w:val="04A0"/>
      </w:tblPr>
      <w:tblGrid>
        <w:gridCol w:w="3346"/>
        <w:gridCol w:w="1095"/>
        <w:gridCol w:w="1350"/>
        <w:gridCol w:w="735"/>
        <w:gridCol w:w="915"/>
        <w:gridCol w:w="1839"/>
      </w:tblGrid>
      <w:tr w:rsidR="00D9112C">
        <w:trPr>
          <w:trHeight w:val="555"/>
        </w:trPr>
        <w:tc>
          <w:tcPr>
            <w:tcW w:w="9280" w:type="dxa"/>
            <w:gridSpan w:val="6"/>
            <w:tcBorders>
              <w:top w:val="single" w:sz="4" w:space="0" w:color="auto"/>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ACCA</w:t>
            </w:r>
            <w:r>
              <w:rPr>
                <w:rFonts w:ascii="微软雅黑" w:eastAsia="微软雅黑" w:hAnsi="微软雅黑" w:cs="宋体" w:hint="eastAsia"/>
                <w:color w:val="000000"/>
                <w:kern w:val="0"/>
                <w:sz w:val="18"/>
                <w:szCs w:val="18"/>
              </w:rPr>
              <w:t>课程</w:t>
            </w:r>
          </w:p>
        </w:tc>
      </w:tr>
      <w:tr w:rsidR="00D9112C">
        <w:trPr>
          <w:trHeight w:val="403"/>
        </w:trPr>
        <w:tc>
          <w:tcPr>
            <w:tcW w:w="3346"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课程名称</w:t>
            </w:r>
          </w:p>
        </w:tc>
        <w:tc>
          <w:tcPr>
            <w:tcW w:w="1095"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知识模块</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课程性质</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课时</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学期</w:t>
            </w:r>
          </w:p>
        </w:tc>
        <w:tc>
          <w:tcPr>
            <w:tcW w:w="1839"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培养目标</w:t>
            </w:r>
          </w:p>
        </w:tc>
      </w:tr>
      <w:tr w:rsidR="00D9112C">
        <w:trPr>
          <w:trHeight w:val="876"/>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商业计划书</w:t>
            </w:r>
          </w:p>
        </w:tc>
        <w:tc>
          <w:tcPr>
            <w:tcW w:w="1095"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创新创业</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职业发展课</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16</w:t>
            </w:r>
          </w:p>
        </w:tc>
        <w:tc>
          <w:tcPr>
            <w:tcW w:w="915" w:type="dxa"/>
            <w:tcBorders>
              <w:top w:val="nil"/>
              <w:left w:val="single" w:sz="4" w:space="0" w:color="auto"/>
              <w:bottom w:val="single" w:sz="4" w:space="0" w:color="auto"/>
              <w:right w:val="single" w:sz="4" w:space="0" w:color="auto"/>
            </w:tcBorders>
            <w:vAlign w:val="center"/>
          </w:tcPr>
          <w:p w:rsidR="00D9112C" w:rsidRDefault="00D9112C">
            <w:pPr>
              <w:widowControl/>
              <w:spacing w:line="360" w:lineRule="auto"/>
              <w:jc w:val="center"/>
              <w:rPr>
                <w:rFonts w:ascii="微软雅黑" w:eastAsia="微软雅黑" w:hAnsi="微软雅黑" w:cs="宋体"/>
                <w:color w:val="000000"/>
                <w:kern w:val="0"/>
                <w:sz w:val="18"/>
                <w:szCs w:val="18"/>
              </w:rPr>
            </w:pPr>
          </w:p>
        </w:tc>
        <w:tc>
          <w:tcPr>
            <w:tcW w:w="1839" w:type="dxa"/>
            <w:vMerge w:val="restart"/>
            <w:tcBorders>
              <w:top w:val="nil"/>
              <w:left w:val="single" w:sz="4" w:space="0" w:color="auto"/>
              <w:bottom w:val="single" w:sz="4" w:space="0" w:color="000000"/>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会计人员更多的融入到企业的并购估值以及商业计划书编制</w:t>
            </w:r>
          </w:p>
        </w:tc>
      </w:tr>
      <w:tr w:rsidR="00D9112C">
        <w:trPr>
          <w:trHeight w:val="726"/>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融资与估值</w:t>
            </w:r>
          </w:p>
        </w:tc>
        <w:tc>
          <w:tcPr>
            <w:tcW w:w="1095"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创新创业</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职业发展课</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16</w:t>
            </w:r>
          </w:p>
        </w:tc>
        <w:tc>
          <w:tcPr>
            <w:tcW w:w="915" w:type="dxa"/>
            <w:tcBorders>
              <w:top w:val="nil"/>
              <w:left w:val="single" w:sz="4" w:space="0" w:color="auto"/>
              <w:bottom w:val="single" w:sz="4" w:space="0" w:color="auto"/>
              <w:right w:val="single" w:sz="4" w:space="0" w:color="auto"/>
            </w:tcBorders>
            <w:vAlign w:val="center"/>
          </w:tcPr>
          <w:p w:rsidR="00D9112C" w:rsidRDefault="00D9112C">
            <w:pPr>
              <w:widowControl/>
              <w:spacing w:line="360" w:lineRule="auto"/>
              <w:jc w:val="center"/>
              <w:rPr>
                <w:rFonts w:ascii="微软雅黑" w:eastAsia="微软雅黑" w:hAnsi="微软雅黑" w:cs="宋体"/>
                <w:color w:val="000000"/>
                <w:kern w:val="0"/>
                <w:sz w:val="18"/>
                <w:szCs w:val="18"/>
              </w:rPr>
            </w:pPr>
          </w:p>
        </w:tc>
        <w:tc>
          <w:tcPr>
            <w:tcW w:w="1839" w:type="dxa"/>
            <w:vMerge/>
            <w:tcBorders>
              <w:top w:val="nil"/>
              <w:left w:val="single" w:sz="4" w:space="0" w:color="auto"/>
              <w:bottom w:val="single" w:sz="4" w:space="0" w:color="000000"/>
              <w:right w:val="single" w:sz="4" w:space="0" w:color="auto"/>
            </w:tcBorders>
            <w:vAlign w:val="center"/>
          </w:tcPr>
          <w:p w:rsidR="00D9112C" w:rsidRDefault="00D9112C">
            <w:pPr>
              <w:widowControl/>
              <w:spacing w:line="360" w:lineRule="auto"/>
              <w:jc w:val="left"/>
              <w:rPr>
                <w:rFonts w:ascii="微软雅黑" w:eastAsia="微软雅黑" w:hAnsi="微软雅黑" w:cs="宋体"/>
                <w:color w:val="000000"/>
                <w:kern w:val="0"/>
                <w:sz w:val="18"/>
                <w:szCs w:val="18"/>
              </w:rPr>
            </w:pPr>
          </w:p>
        </w:tc>
      </w:tr>
      <w:tr w:rsidR="00D9112C">
        <w:trPr>
          <w:trHeight w:val="403"/>
        </w:trPr>
        <w:tc>
          <w:tcPr>
            <w:tcW w:w="3346"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F1 </w:t>
            </w:r>
            <w:r>
              <w:rPr>
                <w:rFonts w:ascii="微软雅黑" w:eastAsia="微软雅黑" w:hAnsi="微软雅黑" w:cs="宋体" w:hint="eastAsia"/>
                <w:color w:val="000000"/>
                <w:kern w:val="0"/>
                <w:sz w:val="18"/>
                <w:szCs w:val="18"/>
              </w:rPr>
              <w:t>会计师与企业</w:t>
            </w:r>
            <w:r>
              <w:rPr>
                <w:rFonts w:ascii="微软雅黑" w:eastAsia="微软雅黑" w:hAnsi="微软雅黑" w:cs="宋体" w:hint="eastAsia"/>
                <w:color w:val="000000"/>
                <w:kern w:val="0"/>
                <w:sz w:val="18"/>
                <w:szCs w:val="18"/>
              </w:rPr>
              <w:t xml:space="preserve"> Accountant in Business (AB)</w:t>
            </w:r>
          </w:p>
        </w:tc>
        <w:tc>
          <w:tcPr>
            <w:tcW w:w="1095"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商务知识</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专业核心课</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1839" w:type="dxa"/>
            <w:vMerge w:val="restart"/>
            <w:tcBorders>
              <w:top w:val="nil"/>
              <w:left w:val="single" w:sz="4" w:space="0" w:color="auto"/>
              <w:bottom w:val="single" w:sz="4" w:space="0" w:color="000000"/>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国际化的职业操守、商务分析能力</w:t>
            </w:r>
          </w:p>
        </w:tc>
      </w:tr>
      <w:tr w:rsidR="00D9112C">
        <w:trPr>
          <w:trHeight w:val="403"/>
        </w:trPr>
        <w:tc>
          <w:tcPr>
            <w:tcW w:w="3346" w:type="dxa"/>
            <w:tcBorders>
              <w:top w:val="nil"/>
              <w:left w:val="single" w:sz="4" w:space="0" w:color="auto"/>
              <w:bottom w:val="single" w:sz="4" w:space="0" w:color="auto"/>
              <w:right w:val="single" w:sz="4" w:space="0" w:color="auto"/>
            </w:tcBorders>
            <w:shd w:val="clear" w:color="auto" w:fill="auto"/>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SBL</w:t>
            </w:r>
            <w:r>
              <w:rPr>
                <w:rFonts w:ascii="微软雅黑" w:eastAsia="微软雅黑" w:hAnsi="微软雅黑" w:cs="宋体" w:hint="eastAsia"/>
                <w:color w:val="000000"/>
                <w:kern w:val="0"/>
                <w:sz w:val="18"/>
                <w:szCs w:val="18"/>
              </w:rPr>
              <w:t>战略商业领袖</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商务知识</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必修课程</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88</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w:t>
            </w:r>
          </w:p>
        </w:tc>
        <w:tc>
          <w:tcPr>
            <w:tcW w:w="1839" w:type="dxa"/>
            <w:vMerge/>
            <w:tcBorders>
              <w:top w:val="nil"/>
              <w:left w:val="single" w:sz="4" w:space="0" w:color="auto"/>
              <w:bottom w:val="single" w:sz="4" w:space="0" w:color="000000"/>
              <w:right w:val="single" w:sz="4" w:space="0" w:color="auto"/>
            </w:tcBorders>
            <w:vAlign w:val="center"/>
          </w:tcPr>
          <w:p w:rsidR="00D9112C" w:rsidRDefault="00D9112C">
            <w:pPr>
              <w:widowControl/>
              <w:spacing w:line="360" w:lineRule="auto"/>
              <w:jc w:val="left"/>
              <w:rPr>
                <w:rFonts w:ascii="微软雅黑" w:eastAsia="微软雅黑" w:hAnsi="微软雅黑" w:cs="宋体"/>
                <w:color w:val="000000"/>
                <w:kern w:val="0"/>
                <w:sz w:val="18"/>
                <w:szCs w:val="18"/>
              </w:rPr>
            </w:pPr>
          </w:p>
        </w:tc>
      </w:tr>
      <w:tr w:rsidR="00D9112C">
        <w:trPr>
          <w:trHeight w:val="403"/>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SBR </w:t>
            </w:r>
            <w:r>
              <w:rPr>
                <w:rFonts w:ascii="微软雅黑" w:eastAsia="微软雅黑" w:hAnsi="微软雅黑" w:cs="宋体" w:hint="eastAsia"/>
                <w:color w:val="000000"/>
                <w:kern w:val="0"/>
                <w:sz w:val="18"/>
                <w:szCs w:val="18"/>
              </w:rPr>
              <w:t>战略商业报告</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商务知识</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必修课程</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5</w:t>
            </w:r>
          </w:p>
        </w:tc>
        <w:tc>
          <w:tcPr>
            <w:tcW w:w="1839" w:type="dxa"/>
            <w:vMerge/>
            <w:tcBorders>
              <w:top w:val="nil"/>
              <w:left w:val="single" w:sz="4" w:space="0" w:color="auto"/>
              <w:bottom w:val="single" w:sz="4" w:space="0" w:color="000000"/>
              <w:right w:val="single" w:sz="4" w:space="0" w:color="auto"/>
            </w:tcBorders>
            <w:vAlign w:val="center"/>
          </w:tcPr>
          <w:p w:rsidR="00D9112C" w:rsidRDefault="00D9112C">
            <w:pPr>
              <w:widowControl/>
              <w:spacing w:line="360" w:lineRule="auto"/>
              <w:jc w:val="left"/>
              <w:rPr>
                <w:rFonts w:ascii="微软雅黑" w:eastAsia="微软雅黑" w:hAnsi="微软雅黑" w:cs="宋体"/>
                <w:color w:val="000000"/>
                <w:kern w:val="0"/>
                <w:sz w:val="18"/>
                <w:szCs w:val="18"/>
              </w:rPr>
            </w:pPr>
          </w:p>
        </w:tc>
      </w:tr>
      <w:tr w:rsidR="00D9112C">
        <w:trPr>
          <w:trHeight w:val="403"/>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F3 </w:t>
            </w:r>
            <w:r>
              <w:rPr>
                <w:rFonts w:ascii="微软雅黑" w:eastAsia="微软雅黑" w:hAnsi="微软雅黑" w:cs="宋体" w:hint="eastAsia"/>
                <w:color w:val="000000"/>
                <w:kern w:val="0"/>
                <w:sz w:val="18"/>
                <w:szCs w:val="18"/>
              </w:rPr>
              <w:t>财务会计</w:t>
            </w:r>
            <w:r>
              <w:rPr>
                <w:rFonts w:ascii="微软雅黑" w:eastAsia="微软雅黑" w:hAnsi="微软雅黑" w:cs="宋体" w:hint="eastAsia"/>
                <w:color w:val="000000"/>
                <w:kern w:val="0"/>
                <w:sz w:val="18"/>
                <w:szCs w:val="18"/>
              </w:rPr>
              <w:t xml:space="preserve"> Financial Accounting </w:t>
            </w:r>
            <w:r>
              <w:rPr>
                <w:rFonts w:ascii="微软雅黑" w:eastAsia="微软雅黑" w:hAnsi="微软雅黑" w:cs="宋体" w:hint="eastAsia"/>
                <w:color w:val="000000"/>
                <w:kern w:val="0"/>
                <w:sz w:val="18"/>
                <w:szCs w:val="18"/>
              </w:rPr>
              <w:lastRenderedPageBreak/>
              <w:t>(FA)</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技能模块</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专业核心课</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1839" w:type="dxa"/>
            <w:vMerge w:val="restart"/>
            <w:tcBorders>
              <w:top w:val="nil"/>
              <w:left w:val="single" w:sz="4" w:space="0" w:color="auto"/>
              <w:bottom w:val="single" w:sz="4" w:space="0" w:color="000000"/>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培养具有良好中英文</w:t>
            </w:r>
            <w:r>
              <w:rPr>
                <w:rFonts w:ascii="微软雅黑" w:eastAsia="微软雅黑" w:hAnsi="微软雅黑" w:cs="宋体" w:hint="eastAsia"/>
                <w:color w:val="000000"/>
                <w:kern w:val="0"/>
                <w:sz w:val="18"/>
                <w:szCs w:val="18"/>
              </w:rPr>
              <w:lastRenderedPageBreak/>
              <w:t>沟通能力的英才</w:t>
            </w:r>
          </w:p>
        </w:tc>
      </w:tr>
      <w:tr w:rsidR="00D9112C">
        <w:trPr>
          <w:trHeight w:val="403"/>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 xml:space="preserve">F7 </w:t>
            </w:r>
            <w:r>
              <w:rPr>
                <w:rFonts w:ascii="微软雅黑" w:eastAsia="微软雅黑" w:hAnsi="微软雅黑" w:cs="宋体" w:hint="eastAsia"/>
                <w:color w:val="000000"/>
                <w:kern w:val="0"/>
                <w:sz w:val="18"/>
                <w:szCs w:val="18"/>
              </w:rPr>
              <w:t>财务报告</w:t>
            </w:r>
            <w:r>
              <w:rPr>
                <w:rFonts w:ascii="微软雅黑" w:eastAsia="微软雅黑" w:hAnsi="微软雅黑" w:cs="宋体" w:hint="eastAsia"/>
                <w:color w:val="000000"/>
                <w:kern w:val="0"/>
                <w:sz w:val="18"/>
                <w:szCs w:val="18"/>
              </w:rPr>
              <w:t xml:space="preserve"> Financial Reporting (FR)</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技能模块</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专业核心课</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p>
        </w:tc>
        <w:tc>
          <w:tcPr>
            <w:tcW w:w="1839" w:type="dxa"/>
            <w:vMerge/>
            <w:tcBorders>
              <w:top w:val="nil"/>
              <w:left w:val="single" w:sz="4" w:space="0" w:color="auto"/>
              <w:bottom w:val="single" w:sz="4" w:space="0" w:color="000000"/>
              <w:right w:val="single" w:sz="4" w:space="0" w:color="auto"/>
            </w:tcBorders>
            <w:vAlign w:val="center"/>
          </w:tcPr>
          <w:p w:rsidR="00D9112C" w:rsidRDefault="00D9112C">
            <w:pPr>
              <w:widowControl/>
              <w:spacing w:line="360" w:lineRule="auto"/>
              <w:jc w:val="left"/>
              <w:rPr>
                <w:rFonts w:ascii="微软雅黑" w:eastAsia="微软雅黑" w:hAnsi="微软雅黑" w:cs="宋体"/>
                <w:color w:val="000000"/>
                <w:kern w:val="0"/>
                <w:sz w:val="18"/>
                <w:szCs w:val="18"/>
              </w:rPr>
            </w:pPr>
          </w:p>
        </w:tc>
      </w:tr>
      <w:tr w:rsidR="00D9112C">
        <w:trPr>
          <w:trHeight w:val="403"/>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F5 </w:t>
            </w:r>
            <w:r>
              <w:rPr>
                <w:rFonts w:ascii="微软雅黑" w:eastAsia="微软雅黑" w:hAnsi="微软雅黑" w:cs="宋体" w:hint="eastAsia"/>
                <w:color w:val="000000"/>
                <w:kern w:val="0"/>
                <w:sz w:val="18"/>
                <w:szCs w:val="18"/>
              </w:rPr>
              <w:t>业绩管理</w:t>
            </w:r>
            <w:r>
              <w:rPr>
                <w:rFonts w:ascii="微软雅黑" w:eastAsia="微软雅黑" w:hAnsi="微软雅黑" w:cs="宋体" w:hint="eastAsia"/>
                <w:color w:val="000000"/>
                <w:kern w:val="0"/>
                <w:sz w:val="18"/>
                <w:szCs w:val="18"/>
              </w:rPr>
              <w:t xml:space="preserve"> Performance Management (PM)</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管理模块</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专业核心课</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p>
        </w:tc>
        <w:tc>
          <w:tcPr>
            <w:tcW w:w="1839" w:type="dxa"/>
            <w:vMerge w:val="restart"/>
            <w:tcBorders>
              <w:top w:val="nil"/>
              <w:left w:val="single" w:sz="4" w:space="0" w:color="auto"/>
              <w:bottom w:val="single" w:sz="4" w:space="0" w:color="000000"/>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培养具备有管理能力的现代财务</w:t>
            </w:r>
          </w:p>
        </w:tc>
      </w:tr>
      <w:tr w:rsidR="00D9112C">
        <w:trPr>
          <w:trHeight w:val="403"/>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P5 </w:t>
            </w:r>
            <w:r>
              <w:rPr>
                <w:rFonts w:ascii="微软雅黑" w:eastAsia="微软雅黑" w:hAnsi="微软雅黑" w:cs="宋体" w:hint="eastAsia"/>
                <w:color w:val="000000"/>
                <w:kern w:val="0"/>
                <w:sz w:val="18"/>
                <w:szCs w:val="18"/>
              </w:rPr>
              <w:t>高级业绩管理</w:t>
            </w:r>
            <w:r>
              <w:rPr>
                <w:rFonts w:ascii="微软雅黑" w:eastAsia="微软雅黑" w:hAnsi="微软雅黑" w:cs="宋体" w:hint="eastAsia"/>
                <w:color w:val="000000"/>
                <w:kern w:val="0"/>
                <w:sz w:val="18"/>
                <w:szCs w:val="18"/>
              </w:rPr>
              <w:t xml:space="preserve"> Advanced </w:t>
            </w:r>
            <w:r>
              <w:rPr>
                <w:rFonts w:ascii="微软雅黑" w:eastAsia="微软雅黑" w:hAnsi="微软雅黑" w:cs="宋体" w:hint="eastAsia"/>
                <w:color w:val="000000"/>
                <w:kern w:val="0"/>
                <w:sz w:val="18"/>
                <w:szCs w:val="18"/>
              </w:rPr>
              <w:t>Performance Management (APM)</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管理模块</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必修课程</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w:t>
            </w:r>
          </w:p>
        </w:tc>
        <w:tc>
          <w:tcPr>
            <w:tcW w:w="1839" w:type="dxa"/>
            <w:vMerge/>
            <w:tcBorders>
              <w:top w:val="nil"/>
              <w:left w:val="single" w:sz="4" w:space="0" w:color="auto"/>
              <w:bottom w:val="single" w:sz="4" w:space="0" w:color="000000"/>
              <w:right w:val="single" w:sz="4" w:space="0" w:color="auto"/>
            </w:tcBorders>
            <w:vAlign w:val="center"/>
          </w:tcPr>
          <w:p w:rsidR="00D9112C" w:rsidRDefault="00D9112C">
            <w:pPr>
              <w:widowControl/>
              <w:spacing w:line="360" w:lineRule="auto"/>
              <w:jc w:val="left"/>
              <w:rPr>
                <w:rFonts w:ascii="微软雅黑" w:eastAsia="微软雅黑" w:hAnsi="微软雅黑" w:cs="宋体"/>
                <w:color w:val="000000"/>
                <w:kern w:val="0"/>
                <w:sz w:val="18"/>
                <w:szCs w:val="18"/>
              </w:rPr>
            </w:pPr>
          </w:p>
        </w:tc>
      </w:tr>
      <w:tr w:rsidR="00D9112C">
        <w:trPr>
          <w:trHeight w:val="403"/>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F8 </w:t>
            </w:r>
            <w:r>
              <w:rPr>
                <w:rFonts w:ascii="微软雅黑" w:eastAsia="微软雅黑" w:hAnsi="微软雅黑" w:cs="宋体" w:hint="eastAsia"/>
                <w:color w:val="000000"/>
                <w:kern w:val="0"/>
                <w:sz w:val="18"/>
                <w:szCs w:val="18"/>
              </w:rPr>
              <w:t>审计与认证业务</w:t>
            </w:r>
            <w:r>
              <w:rPr>
                <w:rFonts w:ascii="微软雅黑" w:eastAsia="微软雅黑" w:hAnsi="微软雅黑" w:cs="宋体" w:hint="eastAsia"/>
                <w:color w:val="000000"/>
                <w:kern w:val="0"/>
                <w:sz w:val="18"/>
                <w:szCs w:val="18"/>
              </w:rPr>
              <w:t xml:space="preserve"> Audit and Assurance (AA)</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法律模块</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专业核心课</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p>
        </w:tc>
        <w:tc>
          <w:tcPr>
            <w:tcW w:w="1839" w:type="dxa"/>
            <w:vMerge w:val="restart"/>
            <w:tcBorders>
              <w:top w:val="nil"/>
              <w:left w:val="single" w:sz="4" w:space="0" w:color="auto"/>
              <w:bottom w:val="single" w:sz="4" w:space="0" w:color="000000"/>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培养具备符合中国国情、了解国际会计准则的专业技能人才</w:t>
            </w:r>
          </w:p>
        </w:tc>
      </w:tr>
      <w:tr w:rsidR="00D9112C">
        <w:trPr>
          <w:trHeight w:val="403"/>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F4 </w:t>
            </w:r>
            <w:r>
              <w:rPr>
                <w:rFonts w:ascii="微软雅黑" w:eastAsia="微软雅黑" w:hAnsi="微软雅黑" w:cs="宋体" w:hint="eastAsia"/>
                <w:color w:val="000000"/>
                <w:kern w:val="0"/>
                <w:sz w:val="18"/>
                <w:szCs w:val="18"/>
              </w:rPr>
              <w:t>公司法与商法</w:t>
            </w:r>
            <w:r>
              <w:rPr>
                <w:rFonts w:ascii="微软雅黑" w:eastAsia="微软雅黑" w:hAnsi="微软雅黑" w:cs="宋体" w:hint="eastAsia"/>
                <w:color w:val="000000"/>
                <w:kern w:val="0"/>
                <w:sz w:val="18"/>
                <w:szCs w:val="18"/>
              </w:rPr>
              <w:t xml:space="preserve"> Corporate and Business Law (CL)</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法律模块</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专业核心课</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p>
        </w:tc>
        <w:tc>
          <w:tcPr>
            <w:tcW w:w="1839" w:type="dxa"/>
            <w:vMerge/>
            <w:tcBorders>
              <w:top w:val="nil"/>
              <w:left w:val="single" w:sz="4" w:space="0" w:color="auto"/>
              <w:bottom w:val="single" w:sz="4" w:space="0" w:color="000000"/>
              <w:right w:val="single" w:sz="4" w:space="0" w:color="auto"/>
            </w:tcBorders>
            <w:vAlign w:val="center"/>
          </w:tcPr>
          <w:p w:rsidR="00D9112C" w:rsidRDefault="00D9112C">
            <w:pPr>
              <w:widowControl/>
              <w:spacing w:line="360" w:lineRule="auto"/>
              <w:jc w:val="left"/>
              <w:rPr>
                <w:rFonts w:ascii="微软雅黑" w:eastAsia="微软雅黑" w:hAnsi="微软雅黑" w:cs="宋体"/>
                <w:color w:val="000000"/>
                <w:kern w:val="0"/>
                <w:sz w:val="18"/>
                <w:szCs w:val="18"/>
              </w:rPr>
            </w:pPr>
          </w:p>
        </w:tc>
      </w:tr>
      <w:tr w:rsidR="00D9112C">
        <w:trPr>
          <w:trHeight w:val="403"/>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F6 </w:t>
            </w:r>
            <w:r>
              <w:rPr>
                <w:rFonts w:ascii="微软雅黑" w:eastAsia="微软雅黑" w:hAnsi="微软雅黑" w:cs="宋体" w:hint="eastAsia"/>
                <w:color w:val="000000"/>
                <w:kern w:val="0"/>
                <w:sz w:val="18"/>
                <w:szCs w:val="18"/>
              </w:rPr>
              <w:t>税务</w:t>
            </w:r>
            <w:r>
              <w:rPr>
                <w:rFonts w:ascii="微软雅黑" w:eastAsia="微软雅黑" w:hAnsi="微软雅黑" w:cs="宋体" w:hint="eastAsia"/>
                <w:color w:val="000000"/>
                <w:kern w:val="0"/>
                <w:sz w:val="18"/>
                <w:szCs w:val="18"/>
              </w:rPr>
              <w:t xml:space="preserve"> Taxation (TX)</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法律模块</w:t>
            </w:r>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专业核心课</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p>
        </w:tc>
        <w:tc>
          <w:tcPr>
            <w:tcW w:w="1839" w:type="dxa"/>
            <w:vMerge/>
            <w:tcBorders>
              <w:top w:val="nil"/>
              <w:left w:val="single" w:sz="4" w:space="0" w:color="auto"/>
              <w:bottom w:val="single" w:sz="4" w:space="0" w:color="000000"/>
              <w:right w:val="single" w:sz="4" w:space="0" w:color="auto"/>
            </w:tcBorders>
            <w:vAlign w:val="center"/>
          </w:tcPr>
          <w:p w:rsidR="00D9112C" w:rsidRDefault="00D9112C">
            <w:pPr>
              <w:widowControl/>
              <w:spacing w:line="360" w:lineRule="auto"/>
              <w:jc w:val="left"/>
              <w:rPr>
                <w:rFonts w:ascii="微软雅黑" w:eastAsia="微软雅黑" w:hAnsi="微软雅黑" w:cs="宋体"/>
                <w:color w:val="000000"/>
                <w:kern w:val="0"/>
                <w:sz w:val="18"/>
                <w:szCs w:val="18"/>
              </w:rPr>
            </w:pPr>
          </w:p>
        </w:tc>
      </w:tr>
      <w:tr w:rsidR="00D9112C">
        <w:trPr>
          <w:trHeight w:val="403"/>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F2 </w:t>
            </w:r>
            <w:r>
              <w:rPr>
                <w:rFonts w:ascii="微软雅黑" w:eastAsia="微软雅黑" w:hAnsi="微软雅黑" w:cs="宋体" w:hint="eastAsia"/>
                <w:color w:val="000000"/>
                <w:kern w:val="0"/>
                <w:sz w:val="18"/>
                <w:szCs w:val="18"/>
              </w:rPr>
              <w:t>管理会计</w:t>
            </w:r>
            <w:r>
              <w:rPr>
                <w:rFonts w:ascii="微软雅黑" w:eastAsia="微软雅黑" w:hAnsi="微软雅黑" w:cs="宋体" w:hint="eastAsia"/>
                <w:color w:val="000000"/>
                <w:kern w:val="0"/>
                <w:sz w:val="18"/>
                <w:szCs w:val="18"/>
              </w:rPr>
              <w:t xml:space="preserve"> Management Accounting </w:t>
            </w:r>
            <w:r>
              <w:rPr>
                <w:rFonts w:ascii="微软雅黑" w:eastAsia="微软雅黑" w:hAnsi="微软雅黑" w:cs="宋体" w:hint="eastAsia"/>
                <w:color w:val="000000"/>
                <w:kern w:val="0"/>
                <w:sz w:val="18"/>
                <w:szCs w:val="18"/>
              </w:rPr>
              <w:t>(MA)</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财管模块</w:t>
            </w:r>
            <w:proofErr w:type="gramEnd"/>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专业核心课</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p>
        </w:tc>
        <w:tc>
          <w:tcPr>
            <w:tcW w:w="1839" w:type="dxa"/>
            <w:vMerge w:val="restart"/>
            <w:tcBorders>
              <w:top w:val="nil"/>
              <w:left w:val="single" w:sz="4" w:space="0" w:color="auto"/>
              <w:bottom w:val="single" w:sz="4" w:space="0" w:color="000000"/>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培养具备专业财务管理知识的专业人才</w:t>
            </w:r>
          </w:p>
        </w:tc>
      </w:tr>
      <w:tr w:rsidR="00D9112C">
        <w:trPr>
          <w:trHeight w:val="403"/>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P4</w:t>
            </w:r>
            <w:r>
              <w:rPr>
                <w:rFonts w:ascii="微软雅黑" w:eastAsia="微软雅黑" w:hAnsi="微软雅黑" w:cs="宋体" w:hint="eastAsia"/>
                <w:color w:val="000000"/>
                <w:kern w:val="0"/>
                <w:sz w:val="18"/>
                <w:szCs w:val="18"/>
              </w:rPr>
              <w:t>高级财务管理</w:t>
            </w:r>
            <w:r>
              <w:rPr>
                <w:rFonts w:ascii="微软雅黑" w:eastAsia="微软雅黑" w:hAnsi="微软雅黑" w:cs="宋体" w:hint="eastAsia"/>
                <w:color w:val="000000"/>
                <w:kern w:val="0"/>
                <w:sz w:val="18"/>
                <w:szCs w:val="18"/>
              </w:rPr>
              <w:t>Advanced Financial Management (AFM)</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财管模块</w:t>
            </w:r>
            <w:proofErr w:type="gramEnd"/>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必修课程</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w:t>
            </w:r>
          </w:p>
        </w:tc>
        <w:tc>
          <w:tcPr>
            <w:tcW w:w="1839" w:type="dxa"/>
            <w:vMerge/>
            <w:tcBorders>
              <w:top w:val="nil"/>
              <w:left w:val="single" w:sz="4" w:space="0" w:color="auto"/>
              <w:bottom w:val="single" w:sz="4" w:space="0" w:color="000000"/>
              <w:right w:val="single" w:sz="4" w:space="0" w:color="auto"/>
            </w:tcBorders>
            <w:vAlign w:val="center"/>
          </w:tcPr>
          <w:p w:rsidR="00D9112C" w:rsidRDefault="00D9112C">
            <w:pPr>
              <w:widowControl/>
              <w:spacing w:line="360" w:lineRule="auto"/>
              <w:jc w:val="left"/>
              <w:rPr>
                <w:rFonts w:ascii="微软雅黑" w:eastAsia="微软雅黑" w:hAnsi="微软雅黑" w:cs="宋体"/>
                <w:color w:val="000000"/>
                <w:kern w:val="0"/>
                <w:sz w:val="18"/>
                <w:szCs w:val="18"/>
              </w:rPr>
            </w:pPr>
          </w:p>
        </w:tc>
      </w:tr>
      <w:tr w:rsidR="00D9112C" w:rsidTr="00226939">
        <w:trPr>
          <w:trHeight w:val="403"/>
        </w:trPr>
        <w:tc>
          <w:tcPr>
            <w:tcW w:w="3346" w:type="dxa"/>
            <w:tcBorders>
              <w:top w:val="nil"/>
              <w:left w:val="single" w:sz="4" w:space="0" w:color="auto"/>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 xml:space="preserve">F9 </w:t>
            </w:r>
            <w:r>
              <w:rPr>
                <w:rFonts w:ascii="微软雅黑" w:eastAsia="微软雅黑" w:hAnsi="微软雅黑" w:cs="宋体" w:hint="eastAsia"/>
                <w:color w:val="000000"/>
                <w:kern w:val="0"/>
                <w:sz w:val="18"/>
                <w:szCs w:val="18"/>
              </w:rPr>
              <w:t>财务管理</w:t>
            </w:r>
            <w:r>
              <w:rPr>
                <w:rFonts w:ascii="微软雅黑" w:eastAsia="微软雅黑" w:hAnsi="微软雅黑" w:cs="宋体" w:hint="eastAsia"/>
                <w:color w:val="000000"/>
                <w:kern w:val="0"/>
                <w:sz w:val="18"/>
                <w:szCs w:val="18"/>
              </w:rPr>
              <w:t xml:space="preserve"> Financial Management (FM)</w:t>
            </w:r>
          </w:p>
        </w:tc>
        <w:tc>
          <w:tcPr>
            <w:tcW w:w="1095" w:type="dxa"/>
            <w:tcBorders>
              <w:top w:val="nil"/>
              <w:left w:val="nil"/>
              <w:bottom w:val="single" w:sz="4" w:space="0" w:color="auto"/>
              <w:right w:val="single" w:sz="4" w:space="0" w:color="auto"/>
            </w:tcBorders>
            <w:shd w:val="clear" w:color="000000" w:fill="FFFFFF"/>
            <w:vAlign w:val="center"/>
          </w:tcPr>
          <w:p w:rsidR="00D9112C" w:rsidRDefault="00C314B9">
            <w:pPr>
              <w:widowControl/>
              <w:spacing w:line="360" w:lineRule="auto"/>
              <w:jc w:val="left"/>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财管模块</w:t>
            </w:r>
            <w:proofErr w:type="gramEnd"/>
          </w:p>
        </w:tc>
        <w:tc>
          <w:tcPr>
            <w:tcW w:w="1350" w:type="dxa"/>
            <w:tcBorders>
              <w:top w:val="nil"/>
              <w:left w:val="nil"/>
              <w:bottom w:val="single" w:sz="4" w:space="0" w:color="auto"/>
              <w:right w:val="single" w:sz="4" w:space="0" w:color="auto"/>
            </w:tcBorders>
            <w:vAlign w:val="center"/>
          </w:tcPr>
          <w:p w:rsidR="00D9112C" w:rsidRDefault="00C314B9">
            <w:pPr>
              <w:widowControl/>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专业核心课</w:t>
            </w:r>
          </w:p>
        </w:tc>
        <w:tc>
          <w:tcPr>
            <w:tcW w:w="735" w:type="dxa"/>
            <w:tcBorders>
              <w:top w:val="nil"/>
              <w:left w:val="nil"/>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64</w:t>
            </w:r>
          </w:p>
        </w:tc>
        <w:tc>
          <w:tcPr>
            <w:tcW w:w="915" w:type="dxa"/>
            <w:tcBorders>
              <w:top w:val="nil"/>
              <w:left w:val="single" w:sz="4" w:space="0" w:color="auto"/>
              <w:bottom w:val="single" w:sz="4" w:space="0" w:color="auto"/>
              <w:right w:val="single" w:sz="4" w:space="0" w:color="auto"/>
            </w:tcBorders>
            <w:vAlign w:val="center"/>
          </w:tcPr>
          <w:p w:rsidR="00D9112C" w:rsidRDefault="00C314B9">
            <w:pPr>
              <w:widowControl/>
              <w:spacing w:line="360" w:lineRule="auto"/>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w:t>
            </w:r>
          </w:p>
        </w:tc>
        <w:tc>
          <w:tcPr>
            <w:tcW w:w="1839" w:type="dxa"/>
            <w:vMerge/>
            <w:tcBorders>
              <w:top w:val="nil"/>
              <w:left w:val="single" w:sz="4" w:space="0" w:color="auto"/>
              <w:bottom w:val="single" w:sz="4" w:space="0" w:color="auto"/>
              <w:right w:val="single" w:sz="4" w:space="0" w:color="auto"/>
            </w:tcBorders>
            <w:vAlign w:val="center"/>
          </w:tcPr>
          <w:p w:rsidR="00D9112C" w:rsidRDefault="00D9112C">
            <w:pPr>
              <w:widowControl/>
              <w:spacing w:line="360" w:lineRule="auto"/>
              <w:jc w:val="left"/>
              <w:rPr>
                <w:rFonts w:ascii="微软雅黑" w:eastAsia="微软雅黑" w:hAnsi="微软雅黑" w:cs="宋体"/>
                <w:color w:val="000000"/>
                <w:kern w:val="0"/>
                <w:sz w:val="18"/>
                <w:szCs w:val="18"/>
              </w:rPr>
            </w:pPr>
          </w:p>
        </w:tc>
      </w:tr>
      <w:tr w:rsidR="00226939" w:rsidTr="00226939">
        <w:trPr>
          <w:trHeight w:val="403"/>
        </w:trPr>
        <w:tc>
          <w:tcPr>
            <w:tcW w:w="3346" w:type="dxa"/>
            <w:tcBorders>
              <w:top w:val="single" w:sz="4" w:space="0" w:color="auto"/>
              <w:left w:val="single" w:sz="4" w:space="0" w:color="auto"/>
              <w:bottom w:val="single" w:sz="4" w:space="0" w:color="auto"/>
              <w:right w:val="single" w:sz="4" w:space="0" w:color="auto"/>
            </w:tcBorders>
            <w:shd w:val="clear" w:color="000000" w:fill="FFFFFF"/>
            <w:vAlign w:val="center"/>
          </w:tcPr>
          <w:p w:rsidR="00226939" w:rsidRDefault="00FD448B">
            <w:pPr>
              <w:widowControl/>
              <w:spacing w:line="360" w:lineRule="auto"/>
              <w:jc w:val="left"/>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合计</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226939" w:rsidRDefault="00226939">
            <w:pPr>
              <w:widowControl/>
              <w:spacing w:line="360" w:lineRule="auto"/>
              <w:jc w:val="left"/>
              <w:rPr>
                <w:rFonts w:ascii="微软雅黑" w:eastAsia="微软雅黑" w:hAnsi="微软雅黑" w:cs="宋体" w:hint="eastAsia"/>
                <w:color w:val="000000"/>
                <w:kern w:val="0"/>
                <w:sz w:val="18"/>
                <w:szCs w:val="18"/>
              </w:rPr>
            </w:pPr>
          </w:p>
        </w:tc>
        <w:tc>
          <w:tcPr>
            <w:tcW w:w="1350" w:type="dxa"/>
            <w:tcBorders>
              <w:top w:val="single" w:sz="4" w:space="0" w:color="auto"/>
              <w:left w:val="nil"/>
              <w:bottom w:val="single" w:sz="4" w:space="0" w:color="auto"/>
              <w:right w:val="single" w:sz="4" w:space="0" w:color="auto"/>
            </w:tcBorders>
            <w:vAlign w:val="center"/>
          </w:tcPr>
          <w:p w:rsidR="00226939" w:rsidRDefault="00226939">
            <w:pPr>
              <w:widowControl/>
              <w:spacing w:line="360" w:lineRule="auto"/>
              <w:jc w:val="left"/>
              <w:rPr>
                <w:rFonts w:ascii="微软雅黑" w:eastAsia="微软雅黑" w:hAnsi="微软雅黑" w:cs="宋体" w:hint="eastAsia"/>
                <w:color w:val="000000"/>
                <w:kern w:val="0"/>
                <w:sz w:val="18"/>
                <w:szCs w:val="18"/>
              </w:rPr>
            </w:pPr>
          </w:p>
        </w:tc>
        <w:tc>
          <w:tcPr>
            <w:tcW w:w="735" w:type="dxa"/>
            <w:tcBorders>
              <w:top w:val="single" w:sz="4" w:space="0" w:color="auto"/>
              <w:left w:val="nil"/>
              <w:bottom w:val="single" w:sz="4" w:space="0" w:color="auto"/>
              <w:right w:val="single" w:sz="4" w:space="0" w:color="auto"/>
            </w:tcBorders>
            <w:vAlign w:val="center"/>
          </w:tcPr>
          <w:p w:rsidR="00226939" w:rsidRDefault="00FD448B">
            <w:pPr>
              <w:widowControl/>
              <w:spacing w:line="360" w:lineRule="auto"/>
              <w:jc w:val="center"/>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888</w:t>
            </w:r>
          </w:p>
        </w:tc>
        <w:tc>
          <w:tcPr>
            <w:tcW w:w="915" w:type="dxa"/>
            <w:tcBorders>
              <w:top w:val="single" w:sz="4" w:space="0" w:color="auto"/>
              <w:left w:val="single" w:sz="4" w:space="0" w:color="auto"/>
              <w:bottom w:val="single" w:sz="4" w:space="0" w:color="auto"/>
              <w:right w:val="single" w:sz="4" w:space="0" w:color="auto"/>
            </w:tcBorders>
            <w:vAlign w:val="center"/>
          </w:tcPr>
          <w:p w:rsidR="00226939" w:rsidRDefault="00226939">
            <w:pPr>
              <w:widowControl/>
              <w:spacing w:line="360" w:lineRule="auto"/>
              <w:jc w:val="center"/>
              <w:rPr>
                <w:rFonts w:ascii="微软雅黑" w:eastAsia="微软雅黑" w:hAnsi="微软雅黑" w:cs="宋体" w:hint="eastAsia"/>
                <w:color w:val="000000"/>
                <w:kern w:val="0"/>
                <w:sz w:val="18"/>
                <w:szCs w:val="18"/>
              </w:rPr>
            </w:pPr>
          </w:p>
        </w:tc>
        <w:tc>
          <w:tcPr>
            <w:tcW w:w="1839" w:type="dxa"/>
            <w:tcBorders>
              <w:top w:val="single" w:sz="4" w:space="0" w:color="auto"/>
              <w:left w:val="single" w:sz="4" w:space="0" w:color="auto"/>
              <w:bottom w:val="single" w:sz="4" w:space="0" w:color="000000"/>
              <w:right w:val="single" w:sz="4" w:space="0" w:color="auto"/>
            </w:tcBorders>
            <w:vAlign w:val="center"/>
          </w:tcPr>
          <w:p w:rsidR="00226939" w:rsidRDefault="00226939">
            <w:pPr>
              <w:widowControl/>
              <w:spacing w:line="360" w:lineRule="auto"/>
              <w:jc w:val="left"/>
              <w:rPr>
                <w:rFonts w:ascii="微软雅黑" w:eastAsia="微软雅黑" w:hAnsi="微软雅黑" w:cs="宋体"/>
                <w:color w:val="000000"/>
                <w:kern w:val="0"/>
                <w:sz w:val="18"/>
                <w:szCs w:val="18"/>
              </w:rPr>
            </w:pPr>
          </w:p>
        </w:tc>
      </w:tr>
    </w:tbl>
    <w:p w:rsidR="00D9112C" w:rsidRDefault="00C314B9">
      <w:pPr>
        <w:spacing w:line="360" w:lineRule="auto"/>
        <w:rPr>
          <w:sz w:val="24"/>
          <w:szCs w:val="32"/>
        </w:rPr>
      </w:pPr>
      <w:r>
        <w:rPr>
          <w:rFonts w:hint="eastAsia"/>
          <w:sz w:val="24"/>
          <w:szCs w:val="32"/>
        </w:rPr>
        <w:t>*</w:t>
      </w:r>
      <w:r>
        <w:rPr>
          <w:rFonts w:hint="eastAsia"/>
          <w:sz w:val="24"/>
          <w:szCs w:val="32"/>
        </w:rPr>
        <w:t>备注：商业计划书</w:t>
      </w:r>
      <w:r>
        <w:rPr>
          <w:rFonts w:hint="eastAsia"/>
          <w:sz w:val="24"/>
          <w:szCs w:val="32"/>
        </w:rPr>
        <w:t>&amp;</w:t>
      </w:r>
      <w:r>
        <w:rPr>
          <w:rFonts w:hint="eastAsia"/>
          <w:sz w:val="24"/>
          <w:szCs w:val="32"/>
        </w:rPr>
        <w:t>融资与估值两门</w:t>
      </w:r>
      <w:proofErr w:type="gramStart"/>
      <w:r>
        <w:rPr>
          <w:rFonts w:hint="eastAsia"/>
          <w:sz w:val="24"/>
          <w:szCs w:val="32"/>
        </w:rPr>
        <w:t>课根据</w:t>
      </w:r>
      <w:proofErr w:type="gramEnd"/>
      <w:r>
        <w:rPr>
          <w:rFonts w:hint="eastAsia"/>
          <w:sz w:val="24"/>
          <w:szCs w:val="32"/>
        </w:rPr>
        <w:t>实际教学情况安排在具体学期</w:t>
      </w:r>
    </w:p>
    <w:p w:rsidR="00D9112C" w:rsidRDefault="00D9112C">
      <w:pPr>
        <w:rPr>
          <w:b/>
          <w:bCs/>
        </w:rPr>
      </w:pPr>
    </w:p>
    <w:p w:rsidR="00D9112C" w:rsidRDefault="00C314B9">
      <w:pPr>
        <w:rPr>
          <w:b/>
          <w:bCs/>
        </w:rPr>
      </w:pPr>
      <w:r>
        <w:rPr>
          <w:rFonts w:hint="eastAsia"/>
          <w:b/>
          <w:bCs/>
        </w:rPr>
        <w:t>三：教学大纲</w:t>
      </w:r>
    </w:p>
    <w:tbl>
      <w:tblPr>
        <w:tblStyle w:val="a3"/>
        <w:tblW w:w="8522" w:type="dxa"/>
        <w:tblLayout w:type="fixed"/>
        <w:tblLook w:val="04A0"/>
      </w:tblPr>
      <w:tblGrid>
        <w:gridCol w:w="4261"/>
        <w:gridCol w:w="4261"/>
      </w:tblGrid>
      <w:tr w:rsidR="00D9112C">
        <w:tc>
          <w:tcPr>
            <w:tcW w:w="8522" w:type="dxa"/>
            <w:gridSpan w:val="2"/>
          </w:tcPr>
          <w:p w:rsidR="00D9112C" w:rsidRDefault="00C314B9">
            <w:pPr>
              <w:jc w:val="center"/>
              <w:rPr>
                <w:b/>
                <w:bCs/>
              </w:rPr>
            </w:pPr>
            <w:r>
              <w:rPr>
                <w:rFonts w:hint="eastAsia"/>
                <w:b/>
                <w:bCs/>
              </w:rPr>
              <w:t>ACCA</w:t>
            </w:r>
            <w:r>
              <w:rPr>
                <w:rFonts w:hint="eastAsia"/>
                <w:b/>
                <w:bCs/>
              </w:rPr>
              <w:t>教学大纲</w:t>
            </w:r>
          </w:p>
        </w:tc>
      </w:tr>
      <w:tr w:rsidR="00D9112C">
        <w:tc>
          <w:tcPr>
            <w:tcW w:w="4261" w:type="dxa"/>
          </w:tcPr>
          <w:p w:rsidR="00D9112C" w:rsidRDefault="00C314B9">
            <w:pPr>
              <w:jc w:val="center"/>
              <w:rPr>
                <w:b/>
                <w:bCs/>
              </w:rPr>
            </w:pPr>
            <w:r>
              <w:rPr>
                <w:rFonts w:hint="eastAsia"/>
                <w:b/>
                <w:bCs/>
              </w:rPr>
              <w:t>课程名称</w:t>
            </w:r>
          </w:p>
        </w:tc>
        <w:tc>
          <w:tcPr>
            <w:tcW w:w="4261" w:type="dxa"/>
          </w:tcPr>
          <w:p w:rsidR="00D9112C" w:rsidRDefault="00C314B9">
            <w:pPr>
              <w:jc w:val="center"/>
              <w:rPr>
                <w:b/>
                <w:bCs/>
              </w:rPr>
            </w:pPr>
            <w:r>
              <w:rPr>
                <w:rFonts w:hint="eastAsia"/>
                <w:b/>
                <w:bCs/>
              </w:rPr>
              <w:t>教学大纲</w:t>
            </w: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t xml:space="preserve">F1 </w:t>
            </w:r>
            <w:r>
              <w:rPr>
                <w:rFonts w:ascii="微软雅黑" w:eastAsia="微软雅黑" w:hAnsi="微软雅黑" w:cs="宋体" w:hint="eastAsia"/>
                <w:color w:val="000000"/>
                <w:kern w:val="0"/>
                <w:sz w:val="18"/>
                <w:szCs w:val="18"/>
              </w:rPr>
              <w:t>会计师与企业</w:t>
            </w:r>
            <w:r>
              <w:rPr>
                <w:rFonts w:ascii="微软雅黑" w:eastAsia="微软雅黑" w:hAnsi="微软雅黑" w:cs="宋体" w:hint="eastAsia"/>
                <w:color w:val="000000"/>
                <w:kern w:val="0"/>
                <w:sz w:val="18"/>
                <w:szCs w:val="18"/>
              </w:rPr>
              <w:t xml:space="preserve"> Accountant in Business (AB)</w:t>
            </w:r>
          </w:p>
        </w:tc>
        <w:tc>
          <w:tcPr>
            <w:tcW w:w="4261" w:type="dxa"/>
          </w:tcPr>
          <w:p w:rsidR="00D9112C" w:rsidRDefault="00C314B9">
            <w:pPr>
              <w:numPr>
                <w:ilvl w:val="0"/>
                <w:numId w:val="2"/>
              </w:numPr>
              <w:rPr>
                <w:b/>
                <w:bCs/>
              </w:rPr>
            </w:pPr>
            <w:r>
              <w:rPr>
                <w:rFonts w:ascii="微软雅黑" w:eastAsia="微软雅黑" w:hAnsi="微软雅黑" w:cs="宋体" w:hint="eastAsia"/>
                <w:color w:val="000000"/>
                <w:kern w:val="0"/>
                <w:sz w:val="18"/>
                <w:szCs w:val="18"/>
              </w:rPr>
              <w:t>企业组织（目标和类型），利益相关者和外部环境；</w:t>
            </w:r>
          </w:p>
          <w:p w:rsidR="00D9112C" w:rsidRDefault="00C314B9">
            <w:pPr>
              <w:numPr>
                <w:ilvl w:val="0"/>
                <w:numId w:val="2"/>
              </w:numPr>
              <w:rPr>
                <w:b/>
                <w:bCs/>
              </w:rPr>
            </w:pPr>
            <w:r>
              <w:rPr>
                <w:rFonts w:ascii="微软雅黑" w:eastAsia="微软雅黑" w:hAnsi="微软雅黑" w:cs="宋体" w:hint="eastAsia"/>
                <w:color w:val="000000"/>
                <w:kern w:val="0"/>
                <w:sz w:val="18"/>
                <w:szCs w:val="18"/>
              </w:rPr>
              <w:t>企业组织结构，文化，职能部门和公司治理；</w:t>
            </w:r>
          </w:p>
          <w:p w:rsidR="00D9112C" w:rsidRDefault="00C314B9">
            <w:pPr>
              <w:numPr>
                <w:ilvl w:val="0"/>
                <w:numId w:val="2"/>
              </w:numPr>
              <w:rPr>
                <w:b/>
                <w:bCs/>
              </w:rPr>
            </w:pPr>
            <w:r>
              <w:rPr>
                <w:rFonts w:ascii="微软雅黑" w:eastAsia="微软雅黑" w:hAnsi="微软雅黑" w:cs="宋体" w:hint="eastAsia"/>
                <w:color w:val="000000"/>
                <w:kern w:val="0"/>
                <w:sz w:val="18"/>
                <w:szCs w:val="18"/>
              </w:rPr>
              <w:t>会计和财务报告制度，内部控制和合</w:t>
            </w:r>
            <w:proofErr w:type="gramStart"/>
            <w:r>
              <w:rPr>
                <w:rFonts w:ascii="微软雅黑" w:eastAsia="微软雅黑" w:hAnsi="微软雅黑" w:cs="宋体" w:hint="eastAsia"/>
                <w:color w:val="000000"/>
                <w:kern w:val="0"/>
                <w:sz w:val="18"/>
                <w:szCs w:val="18"/>
              </w:rPr>
              <w:t>规</w:t>
            </w:r>
            <w:proofErr w:type="gramEnd"/>
            <w:r>
              <w:rPr>
                <w:rFonts w:ascii="微软雅黑" w:eastAsia="微软雅黑" w:hAnsi="微软雅黑" w:cs="宋体" w:hint="eastAsia"/>
                <w:color w:val="000000"/>
                <w:kern w:val="0"/>
                <w:sz w:val="18"/>
                <w:szCs w:val="18"/>
              </w:rPr>
              <w:t>；</w:t>
            </w:r>
          </w:p>
          <w:p w:rsidR="00D9112C" w:rsidRDefault="00C314B9">
            <w:pPr>
              <w:numPr>
                <w:ilvl w:val="0"/>
                <w:numId w:val="2"/>
              </w:numPr>
              <w:rPr>
                <w:b/>
                <w:bCs/>
              </w:rPr>
            </w:pPr>
            <w:r>
              <w:rPr>
                <w:rFonts w:ascii="微软雅黑" w:eastAsia="微软雅黑" w:hAnsi="微软雅黑" w:cs="宋体" w:hint="eastAsia"/>
                <w:color w:val="000000"/>
                <w:kern w:val="0"/>
                <w:sz w:val="18"/>
                <w:szCs w:val="18"/>
              </w:rPr>
              <w:t>个人和团队的领导和管理，企业中的领导力、管理及人力资源相关知识内容，个人激励以及团队建设；</w:t>
            </w:r>
          </w:p>
          <w:p w:rsidR="00D9112C" w:rsidRDefault="00C314B9">
            <w:pPr>
              <w:numPr>
                <w:ilvl w:val="0"/>
                <w:numId w:val="2"/>
              </w:numPr>
              <w:rPr>
                <w:b/>
                <w:bCs/>
              </w:rPr>
            </w:pPr>
            <w:r>
              <w:rPr>
                <w:rFonts w:ascii="微软雅黑" w:eastAsia="微软雅黑" w:hAnsi="微软雅黑" w:cs="宋体" w:hint="eastAsia"/>
                <w:color w:val="000000"/>
                <w:kern w:val="0"/>
                <w:sz w:val="18"/>
                <w:szCs w:val="18"/>
              </w:rPr>
              <w:t>个人有效性，比如时间管理，高效沟通等；</w:t>
            </w:r>
          </w:p>
          <w:p w:rsidR="00D9112C" w:rsidRDefault="00C314B9">
            <w:pPr>
              <w:numPr>
                <w:ilvl w:val="0"/>
                <w:numId w:val="2"/>
              </w:numPr>
              <w:rPr>
                <w:b/>
                <w:bCs/>
              </w:rPr>
            </w:pPr>
            <w:r>
              <w:rPr>
                <w:rFonts w:ascii="微软雅黑" w:eastAsia="微软雅黑" w:hAnsi="微软雅黑" w:cs="宋体" w:hint="eastAsia"/>
                <w:color w:val="000000"/>
                <w:kern w:val="0"/>
                <w:sz w:val="18"/>
                <w:szCs w:val="18"/>
              </w:rPr>
              <w:t>组织及个人商业行为所要遵守的相关职业道德。</w:t>
            </w: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lastRenderedPageBreak/>
              <w:t xml:space="preserve">2 </w:t>
            </w:r>
            <w:r>
              <w:rPr>
                <w:rFonts w:ascii="微软雅黑" w:eastAsia="微软雅黑" w:hAnsi="微软雅黑" w:cs="宋体" w:hint="eastAsia"/>
                <w:color w:val="000000"/>
                <w:kern w:val="0"/>
                <w:sz w:val="18"/>
                <w:szCs w:val="18"/>
              </w:rPr>
              <w:t>管理会计</w:t>
            </w:r>
            <w:r>
              <w:rPr>
                <w:rFonts w:ascii="微软雅黑" w:eastAsia="微软雅黑" w:hAnsi="微软雅黑" w:cs="宋体" w:hint="eastAsia"/>
                <w:color w:val="000000"/>
                <w:kern w:val="0"/>
                <w:sz w:val="18"/>
                <w:szCs w:val="18"/>
              </w:rPr>
              <w:t xml:space="preserve"> Management Accounting (MA)</w:t>
            </w:r>
          </w:p>
        </w:tc>
        <w:tc>
          <w:tcPr>
            <w:tcW w:w="4261" w:type="dxa"/>
          </w:tcPr>
          <w:p w:rsidR="00D9112C" w:rsidRDefault="00C314B9">
            <w:pPr>
              <w:numPr>
                <w:ilvl w:val="0"/>
                <w:numId w:val="3"/>
              </w:numPr>
              <w:rPr>
                <w:b/>
                <w:bCs/>
              </w:rPr>
            </w:pPr>
            <w:r>
              <w:rPr>
                <w:rFonts w:ascii="微软雅黑" w:eastAsia="微软雅黑" w:hAnsi="微软雅黑" w:cs="宋体" w:hint="eastAsia"/>
                <w:color w:val="000000"/>
                <w:kern w:val="0"/>
                <w:sz w:val="18"/>
                <w:szCs w:val="18"/>
              </w:rPr>
              <w:t>管理会计的起源、性质、成本会计的相关内容；</w:t>
            </w:r>
          </w:p>
          <w:p w:rsidR="00D9112C" w:rsidRDefault="00C314B9">
            <w:pPr>
              <w:numPr>
                <w:ilvl w:val="0"/>
                <w:numId w:val="3"/>
              </w:numPr>
              <w:rPr>
                <w:b/>
                <w:bCs/>
              </w:rPr>
            </w:pPr>
            <w:r>
              <w:rPr>
                <w:rFonts w:ascii="微软雅黑" w:eastAsia="微软雅黑" w:hAnsi="微软雅黑" w:cs="宋体" w:hint="eastAsia"/>
                <w:color w:val="000000"/>
                <w:kern w:val="0"/>
                <w:sz w:val="18"/>
                <w:szCs w:val="18"/>
              </w:rPr>
              <w:t>成本管理技术如何作为管理会计的重要技术被应用于商业世界</w:t>
            </w:r>
          </w:p>
          <w:p w:rsidR="00D9112C" w:rsidRDefault="00C314B9">
            <w:pPr>
              <w:numPr>
                <w:ilvl w:val="0"/>
                <w:numId w:val="3"/>
              </w:numPr>
              <w:rPr>
                <w:b/>
                <w:bCs/>
              </w:rPr>
            </w:pPr>
            <w:r>
              <w:rPr>
                <w:rFonts w:ascii="微软雅黑" w:eastAsia="微软雅黑" w:hAnsi="微软雅黑" w:cs="宋体" w:hint="eastAsia"/>
                <w:color w:val="000000"/>
                <w:kern w:val="0"/>
                <w:sz w:val="18"/>
                <w:szCs w:val="18"/>
              </w:rPr>
              <w:t>企业预算编制的准备、标准成本法以及成本分析模</w:t>
            </w:r>
            <w:r>
              <w:rPr>
                <w:rFonts w:hint="eastAsia"/>
              </w:rPr>
              <w:t>型</w:t>
            </w:r>
          </w:p>
          <w:p w:rsidR="00D9112C" w:rsidRDefault="00C314B9">
            <w:pPr>
              <w:numPr>
                <w:ilvl w:val="0"/>
                <w:numId w:val="3"/>
              </w:numPr>
              <w:rPr>
                <w:b/>
                <w:bCs/>
              </w:rPr>
            </w:pPr>
            <w:r>
              <w:rPr>
                <w:rFonts w:ascii="微软雅黑" w:eastAsia="微软雅黑" w:hAnsi="微软雅黑" w:cs="宋体" w:hint="eastAsia"/>
                <w:color w:val="000000"/>
                <w:kern w:val="0"/>
                <w:sz w:val="18"/>
                <w:szCs w:val="18"/>
              </w:rPr>
              <w:t>企业绩效的评估及提升企业绩效的方法</w:t>
            </w: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t xml:space="preserve">F3 </w:t>
            </w:r>
            <w:r>
              <w:rPr>
                <w:rFonts w:ascii="微软雅黑" w:eastAsia="微软雅黑" w:hAnsi="微软雅黑" w:cs="宋体" w:hint="eastAsia"/>
                <w:color w:val="000000"/>
                <w:kern w:val="0"/>
                <w:sz w:val="18"/>
                <w:szCs w:val="18"/>
              </w:rPr>
              <w:t>财务会计</w:t>
            </w:r>
            <w:r>
              <w:rPr>
                <w:rFonts w:ascii="微软雅黑" w:eastAsia="微软雅黑" w:hAnsi="微软雅黑" w:cs="宋体" w:hint="eastAsia"/>
                <w:color w:val="000000"/>
                <w:kern w:val="0"/>
                <w:sz w:val="18"/>
                <w:szCs w:val="18"/>
              </w:rPr>
              <w:t xml:space="preserve"> Financial Accounting (FA)</w:t>
            </w:r>
          </w:p>
        </w:tc>
        <w:tc>
          <w:tcPr>
            <w:tcW w:w="4261" w:type="dxa"/>
          </w:tcPr>
          <w:p w:rsidR="00D9112C" w:rsidRDefault="00C314B9">
            <w:pPr>
              <w:numPr>
                <w:ilvl w:val="0"/>
                <w:numId w:val="4"/>
              </w:num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财务报表标志准备及会计科目建立原则</w:t>
            </w:r>
          </w:p>
          <w:p w:rsidR="00D9112C" w:rsidRDefault="00C314B9">
            <w:pPr>
              <w:numPr>
                <w:ilvl w:val="0"/>
                <w:numId w:val="4"/>
              </w:num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公司各类经营行为的会计记录方法</w:t>
            </w:r>
          </w:p>
          <w:p w:rsidR="00D9112C" w:rsidRDefault="00C314B9">
            <w:pPr>
              <w:numPr>
                <w:ilvl w:val="0"/>
                <w:numId w:val="4"/>
              </w:numPr>
              <w:rPr>
                <w:b/>
                <w:bCs/>
              </w:rPr>
            </w:pPr>
            <w:r>
              <w:rPr>
                <w:rFonts w:ascii="微软雅黑" w:eastAsia="微软雅黑" w:hAnsi="微软雅黑" w:cs="宋体" w:hint="eastAsia"/>
                <w:color w:val="000000"/>
                <w:kern w:val="0"/>
                <w:sz w:val="18"/>
                <w:szCs w:val="18"/>
              </w:rPr>
              <w:t>如何使用试算平衡表使用</w:t>
            </w: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t xml:space="preserve">F4 </w:t>
            </w:r>
            <w:r>
              <w:rPr>
                <w:rFonts w:ascii="微软雅黑" w:eastAsia="微软雅黑" w:hAnsi="微软雅黑" w:cs="宋体" w:hint="eastAsia"/>
                <w:color w:val="000000"/>
                <w:kern w:val="0"/>
                <w:sz w:val="18"/>
                <w:szCs w:val="18"/>
              </w:rPr>
              <w:t>公司法与商法</w:t>
            </w:r>
            <w:r>
              <w:rPr>
                <w:rFonts w:ascii="微软雅黑" w:eastAsia="微软雅黑" w:hAnsi="微软雅黑" w:cs="宋体" w:hint="eastAsia"/>
                <w:color w:val="000000"/>
                <w:kern w:val="0"/>
                <w:sz w:val="18"/>
                <w:szCs w:val="18"/>
              </w:rPr>
              <w:t xml:space="preserve"> Corporate and Business Law (CL)</w:t>
            </w:r>
          </w:p>
        </w:tc>
        <w:tc>
          <w:tcPr>
            <w:tcW w:w="4261" w:type="dxa"/>
          </w:tcPr>
          <w:p w:rsidR="00D9112C" w:rsidRDefault="00C314B9">
            <w:pPr>
              <w:numPr>
                <w:ilvl w:val="0"/>
                <w:numId w:val="5"/>
              </w:numPr>
              <w:rPr>
                <w:b/>
                <w:bCs/>
              </w:rPr>
            </w:pPr>
            <w:r>
              <w:rPr>
                <w:rFonts w:ascii="微软雅黑" w:eastAsia="微软雅黑" w:hAnsi="微软雅黑" w:cs="宋体" w:hint="eastAsia"/>
                <w:color w:val="000000"/>
                <w:kern w:val="0"/>
                <w:sz w:val="18"/>
                <w:szCs w:val="18"/>
              </w:rPr>
              <w:t>法院体系、法律渊源、人权法案、债法</w:t>
            </w:r>
          </w:p>
          <w:p w:rsidR="00D9112C" w:rsidRDefault="00C314B9">
            <w:pPr>
              <w:numPr>
                <w:ilvl w:val="0"/>
                <w:numId w:val="5"/>
              </w:numPr>
              <w:rPr>
                <w:b/>
                <w:bCs/>
              </w:rPr>
            </w:pPr>
            <w:r>
              <w:rPr>
                <w:rFonts w:ascii="微软雅黑" w:eastAsia="微软雅黑" w:hAnsi="微软雅黑" w:cs="宋体" w:hint="eastAsia"/>
                <w:color w:val="000000"/>
                <w:kern w:val="0"/>
                <w:sz w:val="18"/>
                <w:szCs w:val="18"/>
              </w:rPr>
              <w:t>劳动法、</w:t>
            </w:r>
            <w:r>
              <w:rPr>
                <w:rFonts w:ascii="微软雅黑" w:eastAsia="微软雅黑" w:hAnsi="微软雅黑" w:cs="宋体" w:hint="eastAsia"/>
                <w:color w:val="000000"/>
                <w:kern w:val="0"/>
                <w:sz w:val="18"/>
                <w:szCs w:val="18"/>
              </w:rPr>
              <w:t>2006</w:t>
            </w:r>
            <w:r>
              <w:rPr>
                <w:rFonts w:ascii="微软雅黑" w:eastAsia="微软雅黑" w:hAnsi="微软雅黑" w:cs="宋体" w:hint="eastAsia"/>
                <w:color w:val="000000"/>
                <w:kern w:val="0"/>
                <w:sz w:val="18"/>
                <w:szCs w:val="18"/>
              </w:rPr>
              <w:t>年公司法</w:t>
            </w:r>
          </w:p>
          <w:p w:rsidR="00D9112C" w:rsidRDefault="00C314B9">
            <w:pPr>
              <w:numPr>
                <w:ilvl w:val="0"/>
                <w:numId w:val="5"/>
              </w:numPr>
              <w:rPr>
                <w:b/>
                <w:bCs/>
              </w:rPr>
            </w:pPr>
            <w:r>
              <w:rPr>
                <w:rFonts w:ascii="微软雅黑" w:eastAsia="微软雅黑" w:hAnsi="微软雅黑" w:cs="宋体" w:hint="eastAsia"/>
                <w:color w:val="000000"/>
                <w:kern w:val="0"/>
                <w:sz w:val="18"/>
                <w:szCs w:val="18"/>
              </w:rPr>
              <w:t>合伙企业法、</w:t>
            </w:r>
            <w:r>
              <w:rPr>
                <w:rFonts w:ascii="微软雅黑" w:eastAsia="微软雅黑" w:hAnsi="微软雅黑" w:cs="宋体" w:hint="eastAsia"/>
                <w:color w:val="000000"/>
                <w:kern w:val="0"/>
                <w:sz w:val="18"/>
                <w:szCs w:val="18"/>
              </w:rPr>
              <w:t>1985</w:t>
            </w:r>
            <w:r>
              <w:rPr>
                <w:rFonts w:ascii="微软雅黑" w:eastAsia="微软雅黑" w:hAnsi="微软雅黑" w:cs="宋体" w:hint="eastAsia"/>
                <w:color w:val="000000"/>
                <w:kern w:val="0"/>
                <w:sz w:val="18"/>
                <w:szCs w:val="18"/>
              </w:rPr>
              <w:t>年破产法</w:t>
            </w: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t xml:space="preserve">F5 </w:t>
            </w:r>
            <w:r>
              <w:rPr>
                <w:rFonts w:ascii="微软雅黑" w:eastAsia="微软雅黑" w:hAnsi="微软雅黑" w:cs="宋体" w:hint="eastAsia"/>
                <w:color w:val="000000"/>
                <w:kern w:val="0"/>
                <w:sz w:val="18"/>
                <w:szCs w:val="18"/>
              </w:rPr>
              <w:t>业绩管理</w:t>
            </w:r>
            <w:r>
              <w:rPr>
                <w:rFonts w:ascii="微软雅黑" w:eastAsia="微软雅黑" w:hAnsi="微软雅黑" w:cs="宋体" w:hint="eastAsia"/>
                <w:color w:val="000000"/>
                <w:kern w:val="0"/>
                <w:sz w:val="18"/>
                <w:szCs w:val="18"/>
              </w:rPr>
              <w:t xml:space="preserve"> Performance Management (PM)</w:t>
            </w:r>
          </w:p>
        </w:tc>
        <w:tc>
          <w:tcPr>
            <w:tcW w:w="4261" w:type="dxa"/>
          </w:tcPr>
          <w:p w:rsidR="00D9112C" w:rsidRDefault="00C314B9">
            <w:pPr>
              <w:numPr>
                <w:ilvl w:val="0"/>
                <w:numId w:val="6"/>
              </w:num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决策问题</w:t>
            </w:r>
          </w:p>
          <w:p w:rsidR="00D9112C" w:rsidRDefault="00C314B9">
            <w:pPr>
              <w:numPr>
                <w:ilvl w:val="0"/>
                <w:numId w:val="6"/>
              </w:num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预算问题</w:t>
            </w:r>
          </w:p>
          <w:p w:rsidR="00D9112C" w:rsidRDefault="00C314B9">
            <w:pPr>
              <w:numPr>
                <w:ilvl w:val="0"/>
                <w:numId w:val="6"/>
              </w:num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标准成本法和差异分析</w:t>
            </w:r>
          </w:p>
          <w:p w:rsidR="00D9112C" w:rsidRDefault="00C314B9">
            <w:pPr>
              <w:numPr>
                <w:ilvl w:val="0"/>
                <w:numId w:val="6"/>
              </w:numPr>
              <w:rPr>
                <w:b/>
                <w:bCs/>
              </w:rPr>
            </w:pPr>
            <w:r>
              <w:rPr>
                <w:rFonts w:ascii="微软雅黑" w:eastAsia="微软雅黑" w:hAnsi="微软雅黑" w:cs="宋体" w:hint="eastAsia"/>
                <w:color w:val="000000"/>
                <w:kern w:val="0"/>
                <w:sz w:val="18"/>
                <w:szCs w:val="18"/>
              </w:rPr>
              <w:t>业绩评估和控制</w:t>
            </w: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t xml:space="preserve">F6 </w:t>
            </w:r>
            <w:r>
              <w:rPr>
                <w:rFonts w:ascii="微软雅黑" w:eastAsia="微软雅黑" w:hAnsi="微软雅黑" w:cs="宋体" w:hint="eastAsia"/>
                <w:color w:val="000000"/>
                <w:kern w:val="0"/>
                <w:sz w:val="18"/>
                <w:szCs w:val="18"/>
              </w:rPr>
              <w:t>税务</w:t>
            </w:r>
            <w:r>
              <w:rPr>
                <w:rFonts w:ascii="微软雅黑" w:eastAsia="微软雅黑" w:hAnsi="微软雅黑" w:cs="宋体" w:hint="eastAsia"/>
                <w:color w:val="000000"/>
                <w:kern w:val="0"/>
                <w:sz w:val="18"/>
                <w:szCs w:val="18"/>
              </w:rPr>
              <w:t xml:space="preserve"> Taxation (TX)</w:t>
            </w:r>
          </w:p>
        </w:tc>
        <w:tc>
          <w:tcPr>
            <w:tcW w:w="4261" w:type="dxa"/>
          </w:tcPr>
          <w:p w:rsidR="00D9112C" w:rsidRDefault="00C314B9">
            <w:pPr>
              <w:widowControl/>
              <w:numPr>
                <w:ilvl w:val="0"/>
                <w:numId w:val="7"/>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英国的税法体系</w:t>
            </w:r>
          </w:p>
          <w:p w:rsidR="00D9112C" w:rsidRDefault="00C314B9">
            <w:pPr>
              <w:widowControl/>
              <w:numPr>
                <w:ilvl w:val="0"/>
                <w:numId w:val="7"/>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个体所得税义务</w:t>
            </w:r>
          </w:p>
          <w:p w:rsidR="00D9112C" w:rsidRDefault="00C314B9">
            <w:pPr>
              <w:widowControl/>
              <w:numPr>
                <w:ilvl w:val="0"/>
                <w:numId w:val="7"/>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公司所得税义务</w:t>
            </w:r>
          </w:p>
          <w:p w:rsidR="00D9112C" w:rsidRDefault="00C314B9">
            <w:pPr>
              <w:widowControl/>
              <w:numPr>
                <w:ilvl w:val="0"/>
                <w:numId w:val="7"/>
              </w:numPr>
              <w:spacing w:line="360" w:lineRule="auto"/>
              <w:jc w:val="left"/>
              <w:rPr>
                <w:b/>
                <w:bCs/>
              </w:rPr>
            </w:pPr>
            <w:r>
              <w:rPr>
                <w:rFonts w:ascii="微软雅黑" w:eastAsia="微软雅黑" w:hAnsi="微软雅黑" w:cs="宋体" w:hint="eastAsia"/>
                <w:color w:val="000000"/>
                <w:kern w:val="0"/>
                <w:sz w:val="18"/>
                <w:szCs w:val="18"/>
              </w:rPr>
              <w:t>应税利得</w:t>
            </w: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t xml:space="preserve">F7 </w:t>
            </w:r>
            <w:r>
              <w:rPr>
                <w:rFonts w:ascii="微软雅黑" w:eastAsia="微软雅黑" w:hAnsi="微软雅黑" w:cs="宋体" w:hint="eastAsia"/>
                <w:color w:val="000000"/>
                <w:kern w:val="0"/>
                <w:sz w:val="18"/>
                <w:szCs w:val="18"/>
              </w:rPr>
              <w:t>财务报告</w:t>
            </w:r>
            <w:r>
              <w:rPr>
                <w:rFonts w:ascii="微软雅黑" w:eastAsia="微软雅黑" w:hAnsi="微软雅黑" w:cs="宋体" w:hint="eastAsia"/>
                <w:color w:val="000000"/>
                <w:kern w:val="0"/>
                <w:sz w:val="18"/>
                <w:szCs w:val="18"/>
              </w:rPr>
              <w:t xml:space="preserve"> Financial Reporting (FR)</w:t>
            </w:r>
          </w:p>
        </w:tc>
        <w:tc>
          <w:tcPr>
            <w:tcW w:w="4261" w:type="dxa"/>
          </w:tcPr>
          <w:p w:rsidR="00D9112C" w:rsidRDefault="00C314B9">
            <w:pPr>
              <w:numPr>
                <w:ilvl w:val="0"/>
                <w:numId w:val="8"/>
              </w:num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分析和运用财务报告概念和理论框架</w:t>
            </w:r>
          </w:p>
          <w:p w:rsidR="00D9112C" w:rsidRDefault="00C314B9">
            <w:pPr>
              <w:numPr>
                <w:ilvl w:val="0"/>
                <w:numId w:val="8"/>
              </w:num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理解分析会计准则的制定</w:t>
            </w:r>
          </w:p>
          <w:p w:rsidR="00D9112C" w:rsidRDefault="00C314B9">
            <w:pPr>
              <w:numPr>
                <w:ilvl w:val="0"/>
                <w:numId w:val="8"/>
              </w:num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根据相关的会计准则调整及编制会计报表</w:t>
            </w:r>
          </w:p>
          <w:p w:rsidR="00D9112C" w:rsidRDefault="00C314B9">
            <w:pPr>
              <w:numPr>
                <w:ilvl w:val="0"/>
                <w:numId w:val="8"/>
              </w:numPr>
              <w:rPr>
                <w:b/>
                <w:bCs/>
              </w:rPr>
            </w:pPr>
            <w:r>
              <w:rPr>
                <w:rFonts w:ascii="微软雅黑" w:eastAsia="微软雅黑" w:hAnsi="微软雅黑" w:cs="宋体" w:hint="eastAsia"/>
                <w:color w:val="000000"/>
                <w:kern w:val="0"/>
                <w:sz w:val="18"/>
                <w:szCs w:val="18"/>
              </w:rPr>
              <w:t>根据现金流量表或者财务比率等技术对财务报表进行分析和解读</w:t>
            </w: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t xml:space="preserve">F8 </w:t>
            </w:r>
            <w:r>
              <w:rPr>
                <w:rFonts w:ascii="微软雅黑" w:eastAsia="微软雅黑" w:hAnsi="微软雅黑" w:cs="宋体" w:hint="eastAsia"/>
                <w:color w:val="000000"/>
                <w:kern w:val="0"/>
                <w:sz w:val="18"/>
                <w:szCs w:val="18"/>
              </w:rPr>
              <w:t>审计与认证业务</w:t>
            </w:r>
            <w:r>
              <w:rPr>
                <w:rFonts w:ascii="微软雅黑" w:eastAsia="微软雅黑" w:hAnsi="微软雅黑" w:cs="宋体" w:hint="eastAsia"/>
                <w:color w:val="000000"/>
                <w:kern w:val="0"/>
                <w:sz w:val="18"/>
                <w:szCs w:val="18"/>
              </w:rPr>
              <w:t xml:space="preserve"> Audit and Assurance (AA)</w:t>
            </w:r>
          </w:p>
        </w:tc>
        <w:tc>
          <w:tcPr>
            <w:tcW w:w="4261" w:type="dxa"/>
          </w:tcPr>
          <w:p w:rsidR="00D9112C" w:rsidRDefault="00C314B9">
            <w:pPr>
              <w:widowControl/>
              <w:numPr>
                <w:ilvl w:val="0"/>
                <w:numId w:val="9"/>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审计和</w:t>
            </w:r>
            <w:proofErr w:type="gramStart"/>
            <w:r>
              <w:rPr>
                <w:rFonts w:ascii="微软雅黑" w:eastAsia="微软雅黑" w:hAnsi="微软雅黑" w:cs="宋体" w:hint="eastAsia"/>
                <w:color w:val="000000"/>
                <w:kern w:val="0"/>
                <w:sz w:val="18"/>
                <w:szCs w:val="18"/>
              </w:rPr>
              <w:t>鉴证</w:t>
            </w:r>
            <w:proofErr w:type="gramEnd"/>
            <w:r>
              <w:rPr>
                <w:rFonts w:ascii="微软雅黑" w:eastAsia="微软雅黑" w:hAnsi="微软雅黑" w:cs="宋体" w:hint="eastAsia"/>
                <w:color w:val="000000"/>
                <w:kern w:val="0"/>
                <w:sz w:val="18"/>
                <w:szCs w:val="18"/>
              </w:rPr>
              <w:t>业务的相关概念</w:t>
            </w:r>
          </w:p>
          <w:p w:rsidR="00D9112C" w:rsidRDefault="00C314B9">
            <w:pPr>
              <w:widowControl/>
              <w:numPr>
                <w:ilvl w:val="0"/>
                <w:numId w:val="9"/>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介绍审计计划和风险评估</w:t>
            </w:r>
          </w:p>
          <w:p w:rsidR="00D9112C" w:rsidRDefault="00C314B9">
            <w:pPr>
              <w:widowControl/>
              <w:numPr>
                <w:ilvl w:val="0"/>
                <w:numId w:val="9"/>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内容控制</w:t>
            </w:r>
          </w:p>
          <w:p w:rsidR="00D9112C" w:rsidRDefault="00C314B9">
            <w:pPr>
              <w:widowControl/>
              <w:numPr>
                <w:ilvl w:val="0"/>
                <w:numId w:val="9"/>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几大重点账户的审计程序</w:t>
            </w:r>
          </w:p>
          <w:p w:rsidR="00D9112C" w:rsidRDefault="00C314B9">
            <w:pPr>
              <w:widowControl/>
              <w:numPr>
                <w:ilvl w:val="0"/>
                <w:numId w:val="9"/>
              </w:numPr>
              <w:spacing w:line="360" w:lineRule="auto"/>
              <w:jc w:val="left"/>
              <w:rPr>
                <w:b/>
                <w:bCs/>
              </w:rPr>
            </w:pPr>
            <w:r>
              <w:rPr>
                <w:rFonts w:ascii="微软雅黑" w:eastAsia="微软雅黑" w:hAnsi="微软雅黑" w:cs="宋体" w:hint="eastAsia"/>
                <w:color w:val="000000"/>
                <w:kern w:val="0"/>
                <w:sz w:val="18"/>
                <w:szCs w:val="18"/>
              </w:rPr>
              <w:t>独立审计报告</w:t>
            </w: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t xml:space="preserve">F9 </w:t>
            </w:r>
            <w:r>
              <w:rPr>
                <w:rFonts w:ascii="微软雅黑" w:eastAsia="微软雅黑" w:hAnsi="微软雅黑" w:cs="宋体" w:hint="eastAsia"/>
                <w:color w:val="000000"/>
                <w:kern w:val="0"/>
                <w:sz w:val="18"/>
                <w:szCs w:val="18"/>
              </w:rPr>
              <w:t>财务管理</w:t>
            </w:r>
            <w:r>
              <w:rPr>
                <w:rFonts w:ascii="微软雅黑" w:eastAsia="微软雅黑" w:hAnsi="微软雅黑" w:cs="宋体" w:hint="eastAsia"/>
                <w:color w:val="000000"/>
                <w:kern w:val="0"/>
                <w:sz w:val="18"/>
                <w:szCs w:val="18"/>
              </w:rPr>
              <w:t xml:space="preserve"> Financial Management (FM)</w:t>
            </w:r>
          </w:p>
        </w:tc>
        <w:tc>
          <w:tcPr>
            <w:tcW w:w="4261" w:type="dxa"/>
          </w:tcPr>
          <w:p w:rsidR="00D9112C" w:rsidRDefault="00C314B9">
            <w:pPr>
              <w:widowControl/>
              <w:numPr>
                <w:ilvl w:val="0"/>
                <w:numId w:val="10"/>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财务管理部门的角色和目的</w:t>
            </w:r>
          </w:p>
          <w:p w:rsidR="00D9112C" w:rsidRDefault="00C314B9">
            <w:pPr>
              <w:widowControl/>
              <w:numPr>
                <w:ilvl w:val="0"/>
                <w:numId w:val="10"/>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经济环境的变化对企业的财务管理的影响</w:t>
            </w:r>
          </w:p>
          <w:p w:rsidR="00D9112C" w:rsidRDefault="00C314B9">
            <w:pPr>
              <w:widowControl/>
              <w:numPr>
                <w:ilvl w:val="0"/>
                <w:numId w:val="10"/>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短期投资中营运资金的管理和运用</w:t>
            </w:r>
          </w:p>
          <w:p w:rsidR="00D9112C" w:rsidRDefault="00C314B9">
            <w:pPr>
              <w:widowControl/>
              <w:numPr>
                <w:ilvl w:val="0"/>
                <w:numId w:val="10"/>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长期投资和投资方法的评价</w:t>
            </w:r>
          </w:p>
          <w:p w:rsidR="00D9112C" w:rsidRDefault="00C314B9">
            <w:pPr>
              <w:widowControl/>
              <w:numPr>
                <w:ilvl w:val="0"/>
                <w:numId w:val="10"/>
              </w:numPr>
              <w:spacing w:line="360" w:lineRule="auto"/>
              <w:jc w:val="left"/>
              <w:rPr>
                <w:b/>
                <w:bCs/>
              </w:rPr>
            </w:pPr>
            <w:r>
              <w:rPr>
                <w:rFonts w:ascii="微软雅黑" w:eastAsia="微软雅黑" w:hAnsi="微软雅黑" w:cs="宋体" w:hint="eastAsia"/>
                <w:color w:val="000000"/>
                <w:kern w:val="0"/>
                <w:sz w:val="18"/>
                <w:szCs w:val="18"/>
              </w:rPr>
              <w:t>企业资产评估的方法和运用</w:t>
            </w: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t>SBL</w:t>
            </w:r>
            <w:r>
              <w:rPr>
                <w:rFonts w:ascii="微软雅黑" w:eastAsia="微软雅黑" w:hAnsi="微软雅黑" w:cs="宋体" w:hint="eastAsia"/>
                <w:color w:val="000000"/>
                <w:kern w:val="0"/>
                <w:sz w:val="18"/>
                <w:szCs w:val="18"/>
              </w:rPr>
              <w:t>战略商业领袖</w:t>
            </w:r>
          </w:p>
        </w:tc>
        <w:tc>
          <w:tcPr>
            <w:tcW w:w="4261" w:type="dxa"/>
          </w:tcPr>
          <w:p w:rsidR="00D9112C" w:rsidRDefault="00D9112C">
            <w:pPr>
              <w:rPr>
                <w:b/>
                <w:bCs/>
              </w:rPr>
            </w:pP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lastRenderedPageBreak/>
              <w:t xml:space="preserve">SBR </w:t>
            </w:r>
            <w:r>
              <w:rPr>
                <w:rFonts w:ascii="微软雅黑" w:eastAsia="微软雅黑" w:hAnsi="微软雅黑" w:cs="宋体" w:hint="eastAsia"/>
                <w:color w:val="000000"/>
                <w:kern w:val="0"/>
                <w:sz w:val="18"/>
                <w:szCs w:val="18"/>
              </w:rPr>
              <w:t>战略商业报告</w:t>
            </w:r>
          </w:p>
        </w:tc>
        <w:tc>
          <w:tcPr>
            <w:tcW w:w="4261" w:type="dxa"/>
          </w:tcPr>
          <w:p w:rsidR="00D9112C" w:rsidRDefault="00D9112C">
            <w:pPr>
              <w:rPr>
                <w:b/>
                <w:bCs/>
              </w:rPr>
            </w:pP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t>P4</w:t>
            </w:r>
            <w:r>
              <w:rPr>
                <w:rFonts w:ascii="微软雅黑" w:eastAsia="微软雅黑" w:hAnsi="微软雅黑" w:cs="宋体" w:hint="eastAsia"/>
                <w:color w:val="000000"/>
                <w:kern w:val="0"/>
                <w:sz w:val="18"/>
                <w:szCs w:val="18"/>
              </w:rPr>
              <w:t>高级财务管理</w:t>
            </w:r>
            <w:r>
              <w:rPr>
                <w:rFonts w:ascii="微软雅黑" w:eastAsia="微软雅黑" w:hAnsi="微软雅黑" w:cs="宋体" w:hint="eastAsia"/>
                <w:color w:val="000000"/>
                <w:kern w:val="0"/>
                <w:sz w:val="18"/>
                <w:szCs w:val="18"/>
              </w:rPr>
              <w:t>Advanced Financial Management (AFM)</w:t>
            </w:r>
          </w:p>
        </w:tc>
        <w:tc>
          <w:tcPr>
            <w:tcW w:w="4261" w:type="dxa"/>
          </w:tcPr>
          <w:p w:rsidR="00D9112C" w:rsidRDefault="00C314B9">
            <w:pPr>
              <w:widowControl/>
              <w:numPr>
                <w:ilvl w:val="0"/>
                <w:numId w:val="11"/>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在跨国企业的环境下，高级行政人员或者咨询人员在满足不同利益相关者需求时扮演的角色和责任。</w:t>
            </w:r>
          </w:p>
          <w:p w:rsidR="00D9112C" w:rsidRDefault="00C314B9">
            <w:pPr>
              <w:widowControl/>
              <w:numPr>
                <w:ilvl w:val="0"/>
                <w:numId w:val="11"/>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在本国和国际环境下，评估潜在的投资决策，评估他们的财务和战略后果。</w:t>
            </w:r>
          </w:p>
          <w:p w:rsidR="00D9112C" w:rsidRDefault="00C314B9">
            <w:pPr>
              <w:widowControl/>
              <w:numPr>
                <w:ilvl w:val="0"/>
                <w:numId w:val="11"/>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计划和评价收购和合并</w:t>
            </w:r>
          </w:p>
          <w:p w:rsidR="00D9112C" w:rsidRDefault="00C314B9">
            <w:pPr>
              <w:widowControl/>
              <w:numPr>
                <w:ilvl w:val="0"/>
                <w:numId w:val="11"/>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评价与建议企业重组战略</w:t>
            </w:r>
          </w:p>
          <w:p w:rsidR="00D9112C" w:rsidRDefault="00C314B9">
            <w:pPr>
              <w:widowControl/>
              <w:numPr>
                <w:ilvl w:val="0"/>
                <w:numId w:val="11"/>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应用与评估风险管理</w:t>
            </w:r>
          </w:p>
        </w:tc>
      </w:tr>
      <w:tr w:rsidR="00D9112C">
        <w:tc>
          <w:tcPr>
            <w:tcW w:w="4261" w:type="dxa"/>
            <w:vAlign w:val="center"/>
          </w:tcPr>
          <w:p w:rsidR="00D9112C" w:rsidRDefault="00C314B9">
            <w:pPr>
              <w:widowControl/>
              <w:spacing w:line="360" w:lineRule="auto"/>
              <w:jc w:val="left"/>
              <w:rPr>
                <w:b/>
                <w:bCs/>
              </w:rPr>
            </w:pPr>
            <w:r>
              <w:rPr>
                <w:rFonts w:ascii="微软雅黑" w:eastAsia="微软雅黑" w:hAnsi="微软雅黑" w:cs="宋体" w:hint="eastAsia"/>
                <w:color w:val="000000"/>
                <w:kern w:val="0"/>
                <w:sz w:val="18"/>
                <w:szCs w:val="18"/>
              </w:rPr>
              <w:t xml:space="preserve">P5 </w:t>
            </w:r>
            <w:r>
              <w:rPr>
                <w:rFonts w:ascii="微软雅黑" w:eastAsia="微软雅黑" w:hAnsi="微软雅黑" w:cs="宋体" w:hint="eastAsia"/>
                <w:color w:val="000000"/>
                <w:kern w:val="0"/>
                <w:sz w:val="18"/>
                <w:szCs w:val="18"/>
              </w:rPr>
              <w:t>高级业绩管理</w:t>
            </w:r>
            <w:r>
              <w:rPr>
                <w:rFonts w:ascii="微软雅黑" w:eastAsia="微软雅黑" w:hAnsi="微软雅黑" w:cs="宋体" w:hint="eastAsia"/>
                <w:color w:val="000000"/>
                <w:kern w:val="0"/>
                <w:sz w:val="18"/>
                <w:szCs w:val="18"/>
              </w:rPr>
              <w:t xml:space="preserve"> Advanced Performance Management (APM)</w:t>
            </w:r>
          </w:p>
        </w:tc>
        <w:tc>
          <w:tcPr>
            <w:tcW w:w="4261" w:type="dxa"/>
          </w:tcPr>
          <w:p w:rsidR="00D9112C" w:rsidRDefault="00C314B9">
            <w:pPr>
              <w:widowControl/>
              <w:numPr>
                <w:ilvl w:val="0"/>
                <w:numId w:val="12"/>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利用战略规划和控制模型来计划和监控组织的业绩</w:t>
            </w:r>
          </w:p>
          <w:p w:rsidR="00D9112C" w:rsidRDefault="00C314B9">
            <w:pPr>
              <w:widowControl/>
              <w:numPr>
                <w:ilvl w:val="0"/>
                <w:numId w:val="12"/>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评估和确定相关宏观经济，财政和市场因素以及主要外部环境对企业的影响</w:t>
            </w:r>
          </w:p>
          <w:p w:rsidR="00D9112C" w:rsidRDefault="00C314B9">
            <w:pPr>
              <w:widowControl/>
              <w:numPr>
                <w:ilvl w:val="0"/>
                <w:numId w:val="12"/>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确定与评价有效的业绩管理信息和监控系统</w:t>
            </w:r>
          </w:p>
          <w:p w:rsidR="00D9112C" w:rsidRDefault="00C314B9">
            <w:pPr>
              <w:widowControl/>
              <w:numPr>
                <w:ilvl w:val="0"/>
                <w:numId w:val="12"/>
              </w:numPr>
              <w:spacing w:line="360" w:lineRule="auto"/>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运用恰当的战略业绩评估方法来评价并且提升企业的业绩</w:t>
            </w:r>
          </w:p>
          <w:p w:rsidR="00D9112C" w:rsidRDefault="00D9112C">
            <w:pPr>
              <w:widowControl/>
              <w:spacing w:line="360" w:lineRule="auto"/>
              <w:jc w:val="left"/>
              <w:rPr>
                <w:rFonts w:ascii="微软雅黑" w:eastAsia="微软雅黑" w:hAnsi="微软雅黑" w:cs="宋体"/>
                <w:color w:val="000000"/>
                <w:kern w:val="0"/>
                <w:sz w:val="18"/>
                <w:szCs w:val="18"/>
              </w:rPr>
            </w:pPr>
            <w:bookmarkStart w:id="0" w:name="_GoBack"/>
            <w:bookmarkEnd w:id="0"/>
          </w:p>
        </w:tc>
      </w:tr>
    </w:tbl>
    <w:p w:rsidR="00D9112C" w:rsidRDefault="00D9112C">
      <w:pPr>
        <w:rPr>
          <w:b/>
          <w:bCs/>
        </w:rPr>
      </w:pPr>
    </w:p>
    <w:p w:rsidR="00D9112C" w:rsidRDefault="00D9112C">
      <w:pPr>
        <w:rPr>
          <w:b/>
          <w:bCs/>
        </w:rPr>
      </w:pPr>
    </w:p>
    <w:p w:rsidR="00D9112C" w:rsidRDefault="00C314B9">
      <w:pPr>
        <w:spacing w:line="360" w:lineRule="auto"/>
        <w:rPr>
          <w:b/>
          <w:bCs/>
          <w:sz w:val="24"/>
          <w:szCs w:val="32"/>
        </w:rPr>
      </w:pPr>
      <w:r>
        <w:rPr>
          <w:rFonts w:hint="eastAsia"/>
          <w:b/>
          <w:bCs/>
          <w:sz w:val="24"/>
          <w:szCs w:val="32"/>
        </w:rPr>
        <w:t>四：服务明细（</w:t>
      </w:r>
      <w:r>
        <w:rPr>
          <w:rFonts w:hint="eastAsia"/>
          <w:b/>
          <w:bCs/>
          <w:sz w:val="24"/>
          <w:szCs w:val="32"/>
        </w:rPr>
        <w:t>56800</w:t>
      </w:r>
      <w:r>
        <w:rPr>
          <w:rFonts w:hint="eastAsia"/>
          <w:b/>
          <w:bCs/>
          <w:sz w:val="24"/>
          <w:szCs w:val="32"/>
        </w:rPr>
        <w:t>元）</w:t>
      </w:r>
    </w:p>
    <w:p w:rsidR="00D9112C" w:rsidRDefault="00D9112C"/>
    <w:tbl>
      <w:tblPr>
        <w:tblStyle w:val="a3"/>
        <w:tblW w:w="9294" w:type="dxa"/>
        <w:tblLayout w:type="fixed"/>
        <w:tblLook w:val="04A0"/>
      </w:tblPr>
      <w:tblGrid>
        <w:gridCol w:w="9294"/>
      </w:tblGrid>
      <w:tr w:rsidR="00D9112C">
        <w:tc>
          <w:tcPr>
            <w:tcW w:w="9294" w:type="dxa"/>
          </w:tcPr>
          <w:p w:rsidR="00D9112C" w:rsidRDefault="00C314B9">
            <w:pPr>
              <w:jc w:val="center"/>
              <w:rPr>
                <w:b/>
                <w:bCs/>
              </w:rPr>
            </w:pPr>
            <w:r>
              <w:rPr>
                <w:rFonts w:hint="eastAsia"/>
                <w:b/>
                <w:bCs/>
              </w:rPr>
              <w:t>项目</w:t>
            </w:r>
          </w:p>
        </w:tc>
      </w:tr>
      <w:tr w:rsidR="00D9112C">
        <w:tc>
          <w:tcPr>
            <w:tcW w:w="9294" w:type="dxa"/>
          </w:tcPr>
          <w:p w:rsidR="00D9112C" w:rsidRDefault="00C314B9">
            <w:pPr>
              <w:jc w:val="center"/>
            </w:pPr>
            <w:r>
              <w:rPr>
                <w:rFonts w:hint="eastAsia"/>
                <w:b/>
                <w:bCs/>
              </w:rPr>
              <w:t>ACCA</w:t>
            </w:r>
            <w:r>
              <w:rPr>
                <w:rFonts w:hint="eastAsia"/>
                <w:b/>
                <w:bCs/>
              </w:rPr>
              <w:t>教学服务内容</w:t>
            </w:r>
          </w:p>
        </w:tc>
      </w:tr>
      <w:tr w:rsidR="00D9112C">
        <w:tc>
          <w:tcPr>
            <w:tcW w:w="9294" w:type="dxa"/>
          </w:tcPr>
          <w:p w:rsidR="00D9112C" w:rsidRDefault="00C314B9">
            <w:pPr>
              <w:jc w:val="center"/>
            </w:pPr>
            <w:r>
              <w:rPr>
                <w:rFonts w:hint="eastAsia"/>
              </w:rPr>
              <w:t>入学测试及学习规划服务</w:t>
            </w:r>
          </w:p>
        </w:tc>
      </w:tr>
      <w:tr w:rsidR="00D9112C">
        <w:tc>
          <w:tcPr>
            <w:tcW w:w="9294" w:type="dxa"/>
          </w:tcPr>
          <w:p w:rsidR="00D9112C" w:rsidRDefault="00C314B9">
            <w:pPr>
              <w:jc w:val="center"/>
            </w:pPr>
            <w:r>
              <w:rPr>
                <w:rFonts w:hint="eastAsia"/>
              </w:rPr>
              <w:t>财务英语及前导远程课程</w:t>
            </w:r>
          </w:p>
        </w:tc>
      </w:tr>
      <w:tr w:rsidR="00D9112C">
        <w:tc>
          <w:tcPr>
            <w:tcW w:w="9294" w:type="dxa"/>
          </w:tcPr>
          <w:p w:rsidR="00D9112C" w:rsidRDefault="00C314B9">
            <w:pPr>
              <w:jc w:val="center"/>
            </w:pPr>
            <w:r>
              <w:rPr>
                <w:rFonts w:hint="eastAsia"/>
              </w:rPr>
              <w:t>周末面授</w:t>
            </w:r>
            <w:r>
              <w:rPr>
                <w:rFonts w:hint="eastAsia"/>
              </w:rPr>
              <w:t>/</w:t>
            </w:r>
            <w:r>
              <w:rPr>
                <w:rFonts w:hint="eastAsia"/>
              </w:rPr>
              <w:t>暑假面授</w:t>
            </w:r>
            <w:r>
              <w:rPr>
                <w:rFonts w:hint="eastAsia"/>
              </w:rPr>
              <w:t>/</w:t>
            </w:r>
            <w:proofErr w:type="gramStart"/>
            <w:r>
              <w:rPr>
                <w:rFonts w:hint="eastAsia"/>
              </w:rPr>
              <w:t>私播课程</w:t>
            </w:r>
            <w:proofErr w:type="gramEnd"/>
          </w:p>
        </w:tc>
      </w:tr>
      <w:tr w:rsidR="00D9112C">
        <w:tc>
          <w:tcPr>
            <w:tcW w:w="9294" w:type="dxa"/>
          </w:tcPr>
          <w:p w:rsidR="00D9112C" w:rsidRDefault="00C314B9">
            <w:pPr>
              <w:jc w:val="center"/>
            </w:pPr>
            <w:r>
              <w:rPr>
                <w:rFonts w:hint="eastAsia"/>
              </w:rPr>
              <w:t>ACCA</w:t>
            </w:r>
            <w:r>
              <w:rPr>
                <w:rFonts w:hint="eastAsia"/>
              </w:rPr>
              <w:t>官方学员注册指导服务</w:t>
            </w:r>
          </w:p>
        </w:tc>
      </w:tr>
      <w:tr w:rsidR="00D9112C">
        <w:tc>
          <w:tcPr>
            <w:tcW w:w="9294" w:type="dxa"/>
          </w:tcPr>
          <w:p w:rsidR="00D9112C" w:rsidRDefault="00C314B9">
            <w:pPr>
              <w:jc w:val="center"/>
            </w:pPr>
            <w:r>
              <w:rPr>
                <w:rFonts w:hint="eastAsia"/>
              </w:rPr>
              <w:t>学术老师学习指导服务</w:t>
            </w:r>
          </w:p>
        </w:tc>
      </w:tr>
      <w:tr w:rsidR="00D9112C">
        <w:tc>
          <w:tcPr>
            <w:tcW w:w="9294" w:type="dxa"/>
          </w:tcPr>
          <w:p w:rsidR="00D9112C" w:rsidRDefault="00C314B9">
            <w:pPr>
              <w:jc w:val="center"/>
            </w:pPr>
            <w:r>
              <w:rPr>
                <w:rFonts w:hint="eastAsia"/>
              </w:rPr>
              <w:t>售后服务期内日常学习跟踪服务</w:t>
            </w:r>
          </w:p>
        </w:tc>
      </w:tr>
      <w:tr w:rsidR="00D9112C">
        <w:tc>
          <w:tcPr>
            <w:tcW w:w="9294" w:type="dxa"/>
          </w:tcPr>
          <w:p w:rsidR="00D9112C" w:rsidRDefault="00C314B9">
            <w:pPr>
              <w:jc w:val="center"/>
            </w:pPr>
            <w:r>
              <w:rPr>
                <w:rFonts w:hint="eastAsia"/>
              </w:rPr>
              <w:t>售后服务期内面授</w:t>
            </w:r>
            <w:r>
              <w:rPr>
                <w:rFonts w:hint="eastAsia"/>
              </w:rPr>
              <w:t>/</w:t>
            </w:r>
            <w:r>
              <w:rPr>
                <w:rFonts w:hint="eastAsia"/>
              </w:rPr>
              <w:t>远程重修服务</w:t>
            </w:r>
          </w:p>
        </w:tc>
      </w:tr>
      <w:tr w:rsidR="00D9112C">
        <w:tc>
          <w:tcPr>
            <w:tcW w:w="9294" w:type="dxa"/>
          </w:tcPr>
          <w:p w:rsidR="00D9112C" w:rsidRDefault="00C314B9">
            <w:pPr>
              <w:jc w:val="center"/>
            </w:pPr>
            <w:r>
              <w:rPr>
                <w:rFonts w:hint="eastAsia"/>
              </w:rPr>
              <w:t>单科寒假面授集训班参训机会</w:t>
            </w:r>
          </w:p>
        </w:tc>
      </w:tr>
      <w:tr w:rsidR="00D9112C">
        <w:tc>
          <w:tcPr>
            <w:tcW w:w="9294" w:type="dxa"/>
          </w:tcPr>
          <w:p w:rsidR="00D9112C" w:rsidRDefault="00C314B9">
            <w:pPr>
              <w:jc w:val="center"/>
            </w:pPr>
            <w:r>
              <w:rPr>
                <w:rFonts w:hint="eastAsia"/>
              </w:rPr>
              <w:t>OBU</w:t>
            </w:r>
            <w:r>
              <w:rPr>
                <w:rFonts w:hint="eastAsia"/>
              </w:rPr>
              <w:t>论文辅导服务</w:t>
            </w:r>
          </w:p>
        </w:tc>
      </w:tr>
      <w:tr w:rsidR="00D9112C">
        <w:trPr>
          <w:trHeight w:val="227"/>
        </w:trPr>
        <w:tc>
          <w:tcPr>
            <w:tcW w:w="9294" w:type="dxa"/>
          </w:tcPr>
          <w:p w:rsidR="00D9112C" w:rsidRDefault="00C314B9">
            <w:pPr>
              <w:jc w:val="center"/>
            </w:pPr>
            <w:r>
              <w:rPr>
                <w:rFonts w:hint="eastAsia"/>
                <w:b/>
                <w:bCs/>
              </w:rPr>
              <w:t>职业能力课程</w:t>
            </w:r>
          </w:p>
        </w:tc>
      </w:tr>
      <w:tr w:rsidR="00D9112C">
        <w:tc>
          <w:tcPr>
            <w:tcW w:w="9294" w:type="dxa"/>
          </w:tcPr>
          <w:p w:rsidR="00D9112C" w:rsidRDefault="00C314B9">
            <w:pPr>
              <w:jc w:val="center"/>
            </w:pPr>
            <w:r>
              <w:rPr>
                <w:rFonts w:hint="eastAsia"/>
              </w:rPr>
              <w:t>职业力课程</w:t>
            </w:r>
            <w:r>
              <w:rPr>
                <w:rFonts w:hint="eastAsia"/>
              </w:rPr>
              <w:t>-3</w:t>
            </w:r>
            <w:r>
              <w:rPr>
                <w:rFonts w:hint="eastAsia"/>
              </w:rPr>
              <w:t>个模块</w:t>
            </w:r>
          </w:p>
        </w:tc>
      </w:tr>
      <w:tr w:rsidR="00D9112C">
        <w:tc>
          <w:tcPr>
            <w:tcW w:w="9294" w:type="dxa"/>
          </w:tcPr>
          <w:p w:rsidR="00D9112C" w:rsidRDefault="00C314B9">
            <w:pPr>
              <w:jc w:val="center"/>
            </w:pPr>
            <w:r>
              <w:rPr>
                <w:rFonts w:hint="eastAsia"/>
              </w:rPr>
              <w:t>职业发展在线课程</w:t>
            </w:r>
          </w:p>
        </w:tc>
      </w:tr>
      <w:tr w:rsidR="00D9112C">
        <w:tc>
          <w:tcPr>
            <w:tcW w:w="9294" w:type="dxa"/>
          </w:tcPr>
          <w:p w:rsidR="00D9112C" w:rsidRDefault="00C314B9">
            <w:pPr>
              <w:jc w:val="center"/>
            </w:pPr>
            <w:r>
              <w:rPr>
                <w:rFonts w:hint="eastAsia"/>
              </w:rPr>
              <w:lastRenderedPageBreak/>
              <w:t>求职力</w:t>
            </w:r>
            <w:r>
              <w:rPr>
                <w:rFonts w:hint="eastAsia"/>
              </w:rPr>
              <w:t xml:space="preserve">- </w:t>
            </w:r>
            <w:r>
              <w:rPr>
                <w:rFonts w:hint="eastAsia"/>
              </w:rPr>
              <w:t>了解职业在线课程</w:t>
            </w:r>
          </w:p>
        </w:tc>
      </w:tr>
      <w:tr w:rsidR="00D9112C">
        <w:tc>
          <w:tcPr>
            <w:tcW w:w="9294" w:type="dxa"/>
          </w:tcPr>
          <w:p w:rsidR="00D9112C" w:rsidRDefault="00C314B9">
            <w:pPr>
              <w:jc w:val="center"/>
            </w:pPr>
            <w:r>
              <w:rPr>
                <w:rFonts w:hint="eastAsia"/>
              </w:rPr>
              <w:t>大学生未来精英训练营</w:t>
            </w:r>
            <w:r>
              <w:rPr>
                <w:rFonts w:hint="eastAsia"/>
              </w:rPr>
              <w:t>1</w:t>
            </w:r>
            <w:r>
              <w:rPr>
                <w:rFonts w:hint="eastAsia"/>
              </w:rPr>
              <w:t>次</w:t>
            </w:r>
          </w:p>
        </w:tc>
      </w:tr>
      <w:tr w:rsidR="00D9112C">
        <w:tc>
          <w:tcPr>
            <w:tcW w:w="9294" w:type="dxa"/>
          </w:tcPr>
          <w:p w:rsidR="00D9112C" w:rsidRDefault="00C314B9">
            <w:pPr>
              <w:jc w:val="center"/>
            </w:pPr>
            <w:r>
              <w:rPr>
                <w:rFonts w:hint="eastAsia"/>
                <w:b/>
                <w:bCs/>
              </w:rPr>
              <w:t>职业发展服务</w:t>
            </w:r>
          </w:p>
        </w:tc>
      </w:tr>
      <w:tr w:rsidR="00D9112C">
        <w:tc>
          <w:tcPr>
            <w:tcW w:w="9294" w:type="dxa"/>
          </w:tcPr>
          <w:p w:rsidR="00D9112C" w:rsidRDefault="00C314B9">
            <w:pPr>
              <w:jc w:val="center"/>
            </w:pPr>
            <w:r>
              <w:rPr>
                <w:rFonts w:hint="eastAsia"/>
              </w:rPr>
              <w:t>ACCA</w:t>
            </w:r>
            <w:r>
              <w:rPr>
                <w:rFonts w:hint="eastAsia"/>
              </w:rPr>
              <w:t>会员导师辅导</w:t>
            </w:r>
            <w:r>
              <w:rPr>
                <w:rFonts w:hint="eastAsia"/>
              </w:rPr>
              <w:t>3</w:t>
            </w:r>
            <w:r>
              <w:rPr>
                <w:rFonts w:hint="eastAsia"/>
              </w:rPr>
              <w:t>个月</w:t>
            </w:r>
          </w:p>
        </w:tc>
      </w:tr>
      <w:tr w:rsidR="00D9112C">
        <w:tc>
          <w:tcPr>
            <w:tcW w:w="9294" w:type="dxa"/>
          </w:tcPr>
          <w:p w:rsidR="00D9112C" w:rsidRDefault="00C314B9">
            <w:pPr>
              <w:jc w:val="center"/>
            </w:pPr>
            <w:r>
              <w:rPr>
                <w:rFonts w:hint="eastAsia"/>
              </w:rPr>
              <w:t>ACCA</w:t>
            </w:r>
            <w:r>
              <w:rPr>
                <w:rFonts w:hint="eastAsia"/>
              </w:rPr>
              <w:t>认可雇主企业实习推荐服务</w:t>
            </w:r>
            <w:r>
              <w:rPr>
                <w:rFonts w:hint="eastAsia"/>
              </w:rPr>
              <w:t>6</w:t>
            </w:r>
            <w:r>
              <w:rPr>
                <w:rFonts w:hint="eastAsia"/>
              </w:rPr>
              <w:t>个月</w:t>
            </w:r>
          </w:p>
        </w:tc>
      </w:tr>
      <w:tr w:rsidR="00D9112C">
        <w:tc>
          <w:tcPr>
            <w:tcW w:w="9294" w:type="dxa"/>
          </w:tcPr>
          <w:p w:rsidR="00D9112C" w:rsidRDefault="00C314B9">
            <w:pPr>
              <w:jc w:val="center"/>
            </w:pPr>
            <w:r>
              <w:rPr>
                <w:rFonts w:hint="eastAsia"/>
              </w:rPr>
              <w:t>ACCA</w:t>
            </w:r>
            <w:r>
              <w:rPr>
                <w:rFonts w:hint="eastAsia"/>
              </w:rPr>
              <w:t>认可雇主企业就业推荐服务</w:t>
            </w:r>
            <w:r>
              <w:rPr>
                <w:rFonts w:hint="eastAsia"/>
              </w:rPr>
              <w:t>6</w:t>
            </w:r>
            <w:r>
              <w:rPr>
                <w:rFonts w:hint="eastAsia"/>
              </w:rPr>
              <w:t>个月</w:t>
            </w:r>
          </w:p>
        </w:tc>
      </w:tr>
      <w:tr w:rsidR="00D9112C">
        <w:tc>
          <w:tcPr>
            <w:tcW w:w="9294" w:type="dxa"/>
          </w:tcPr>
          <w:p w:rsidR="00D9112C" w:rsidRDefault="00C314B9">
            <w:pPr>
              <w:jc w:val="center"/>
            </w:pPr>
            <w:r>
              <w:rPr>
                <w:rFonts w:hint="eastAsia"/>
              </w:rPr>
              <w:t>个人简历提升服务</w:t>
            </w:r>
          </w:p>
        </w:tc>
      </w:tr>
      <w:tr w:rsidR="00D9112C">
        <w:tc>
          <w:tcPr>
            <w:tcW w:w="9294" w:type="dxa"/>
          </w:tcPr>
          <w:p w:rsidR="00D9112C" w:rsidRDefault="00C314B9">
            <w:pPr>
              <w:jc w:val="center"/>
            </w:pPr>
            <w:r>
              <w:rPr>
                <w:rFonts w:hint="eastAsia"/>
              </w:rPr>
              <w:t>在线一对一模拟面试服务</w:t>
            </w:r>
          </w:p>
        </w:tc>
      </w:tr>
    </w:tbl>
    <w:p w:rsidR="00D9112C" w:rsidRDefault="00D9112C"/>
    <w:sectPr w:rsidR="00D9112C" w:rsidSect="002269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4B9" w:rsidRDefault="00C314B9" w:rsidP="00226939">
      <w:r>
        <w:separator/>
      </w:r>
    </w:p>
  </w:endnote>
  <w:endnote w:type="continuationSeparator" w:id="0">
    <w:p w:rsidR="00C314B9" w:rsidRDefault="00C314B9" w:rsidP="00226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4B9" w:rsidRDefault="00C314B9" w:rsidP="00226939">
      <w:r>
        <w:separator/>
      </w:r>
    </w:p>
  </w:footnote>
  <w:footnote w:type="continuationSeparator" w:id="0">
    <w:p w:rsidR="00C314B9" w:rsidRDefault="00C314B9" w:rsidP="002269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EE92EC"/>
    <w:multiLevelType w:val="singleLevel"/>
    <w:tmpl w:val="A7EE92EC"/>
    <w:lvl w:ilvl="0">
      <w:start w:val="1"/>
      <w:numFmt w:val="decimal"/>
      <w:suff w:val="space"/>
      <w:lvlText w:val="%1."/>
      <w:lvlJc w:val="left"/>
    </w:lvl>
  </w:abstractNum>
  <w:abstractNum w:abstractNumId="1">
    <w:nsid w:val="D6C033D7"/>
    <w:multiLevelType w:val="singleLevel"/>
    <w:tmpl w:val="D6C033D7"/>
    <w:lvl w:ilvl="0">
      <w:start w:val="1"/>
      <w:numFmt w:val="decimal"/>
      <w:suff w:val="space"/>
      <w:lvlText w:val="%1."/>
      <w:lvlJc w:val="left"/>
    </w:lvl>
  </w:abstractNum>
  <w:abstractNum w:abstractNumId="2">
    <w:nsid w:val="0A0F7520"/>
    <w:multiLevelType w:val="singleLevel"/>
    <w:tmpl w:val="0A0F7520"/>
    <w:lvl w:ilvl="0">
      <w:start w:val="1"/>
      <w:numFmt w:val="decimal"/>
      <w:suff w:val="space"/>
      <w:lvlText w:val="%1."/>
      <w:lvlJc w:val="left"/>
    </w:lvl>
  </w:abstractNum>
  <w:abstractNum w:abstractNumId="3">
    <w:nsid w:val="2031833B"/>
    <w:multiLevelType w:val="singleLevel"/>
    <w:tmpl w:val="2031833B"/>
    <w:lvl w:ilvl="0">
      <w:start w:val="1"/>
      <w:numFmt w:val="decimal"/>
      <w:suff w:val="space"/>
      <w:lvlText w:val="%1."/>
      <w:lvlJc w:val="left"/>
    </w:lvl>
  </w:abstractNum>
  <w:abstractNum w:abstractNumId="4">
    <w:nsid w:val="23C7D6F8"/>
    <w:multiLevelType w:val="singleLevel"/>
    <w:tmpl w:val="23C7D6F8"/>
    <w:lvl w:ilvl="0">
      <w:start w:val="1"/>
      <w:numFmt w:val="decimal"/>
      <w:suff w:val="space"/>
      <w:lvlText w:val="%1."/>
      <w:lvlJc w:val="left"/>
    </w:lvl>
  </w:abstractNum>
  <w:abstractNum w:abstractNumId="5">
    <w:nsid w:val="33550140"/>
    <w:multiLevelType w:val="multilevel"/>
    <w:tmpl w:val="3355014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36529849"/>
    <w:multiLevelType w:val="singleLevel"/>
    <w:tmpl w:val="36529849"/>
    <w:lvl w:ilvl="0">
      <w:start w:val="1"/>
      <w:numFmt w:val="decimal"/>
      <w:suff w:val="space"/>
      <w:lvlText w:val="%1."/>
      <w:lvlJc w:val="left"/>
    </w:lvl>
  </w:abstractNum>
  <w:abstractNum w:abstractNumId="7">
    <w:nsid w:val="3C83229B"/>
    <w:multiLevelType w:val="singleLevel"/>
    <w:tmpl w:val="3C83229B"/>
    <w:lvl w:ilvl="0">
      <w:start w:val="1"/>
      <w:numFmt w:val="decimal"/>
      <w:suff w:val="space"/>
      <w:lvlText w:val="%1."/>
      <w:lvlJc w:val="left"/>
    </w:lvl>
  </w:abstractNum>
  <w:abstractNum w:abstractNumId="8">
    <w:nsid w:val="40C9E7B6"/>
    <w:multiLevelType w:val="singleLevel"/>
    <w:tmpl w:val="40C9E7B6"/>
    <w:lvl w:ilvl="0">
      <w:start w:val="1"/>
      <w:numFmt w:val="decimal"/>
      <w:suff w:val="space"/>
      <w:lvlText w:val="%1."/>
      <w:lvlJc w:val="left"/>
    </w:lvl>
  </w:abstractNum>
  <w:abstractNum w:abstractNumId="9">
    <w:nsid w:val="4BF11405"/>
    <w:multiLevelType w:val="singleLevel"/>
    <w:tmpl w:val="4BF11405"/>
    <w:lvl w:ilvl="0">
      <w:start w:val="1"/>
      <w:numFmt w:val="decimal"/>
      <w:suff w:val="space"/>
      <w:lvlText w:val="%1."/>
      <w:lvlJc w:val="left"/>
    </w:lvl>
  </w:abstractNum>
  <w:abstractNum w:abstractNumId="10">
    <w:nsid w:val="65CC2CD9"/>
    <w:multiLevelType w:val="singleLevel"/>
    <w:tmpl w:val="65CC2CD9"/>
    <w:lvl w:ilvl="0">
      <w:start w:val="1"/>
      <w:numFmt w:val="decimal"/>
      <w:suff w:val="space"/>
      <w:lvlText w:val="%1."/>
      <w:lvlJc w:val="left"/>
    </w:lvl>
  </w:abstractNum>
  <w:abstractNum w:abstractNumId="11">
    <w:nsid w:val="660C8ACF"/>
    <w:multiLevelType w:val="singleLevel"/>
    <w:tmpl w:val="660C8ACF"/>
    <w:lvl w:ilvl="0">
      <w:start w:val="1"/>
      <w:numFmt w:val="decimal"/>
      <w:suff w:val="space"/>
      <w:lvlText w:val="%1."/>
      <w:lvlJc w:val="left"/>
    </w:lvl>
  </w:abstractNum>
  <w:num w:numId="1">
    <w:abstractNumId w:val="5"/>
  </w:num>
  <w:num w:numId="2">
    <w:abstractNumId w:val="3"/>
  </w:num>
  <w:num w:numId="3">
    <w:abstractNumId w:val="9"/>
  </w:num>
  <w:num w:numId="4">
    <w:abstractNumId w:val="4"/>
  </w:num>
  <w:num w:numId="5">
    <w:abstractNumId w:val="10"/>
  </w:num>
  <w:num w:numId="6">
    <w:abstractNumId w:val="11"/>
  </w:num>
  <w:num w:numId="7">
    <w:abstractNumId w:val="0"/>
  </w:num>
  <w:num w:numId="8">
    <w:abstractNumId w:val="1"/>
  </w:num>
  <w:num w:numId="9">
    <w:abstractNumId w:val="7"/>
  </w:num>
  <w:num w:numId="10">
    <w:abstractNumId w:val="8"/>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5A16A49"/>
    <w:rsid w:val="00226939"/>
    <w:rsid w:val="00C314B9"/>
    <w:rsid w:val="00D9112C"/>
    <w:rsid w:val="00FD448B"/>
    <w:rsid w:val="0EE66DDB"/>
    <w:rsid w:val="39FC606A"/>
    <w:rsid w:val="45A16A49"/>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1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1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9112C"/>
    <w:pPr>
      <w:ind w:firstLineChars="200" w:firstLine="420"/>
    </w:pPr>
  </w:style>
  <w:style w:type="paragraph" w:styleId="a4">
    <w:name w:val="header"/>
    <w:basedOn w:val="a"/>
    <w:link w:val="Char"/>
    <w:rsid w:val="002269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26939"/>
    <w:rPr>
      <w:kern w:val="2"/>
      <w:sz w:val="18"/>
      <w:szCs w:val="18"/>
    </w:rPr>
  </w:style>
  <w:style w:type="paragraph" w:styleId="a5">
    <w:name w:val="footer"/>
    <w:basedOn w:val="a"/>
    <w:link w:val="Char0"/>
    <w:rsid w:val="00226939"/>
    <w:pPr>
      <w:tabs>
        <w:tab w:val="center" w:pos="4153"/>
        <w:tab w:val="right" w:pos="8306"/>
      </w:tabs>
      <w:snapToGrid w:val="0"/>
      <w:jc w:val="left"/>
    </w:pPr>
    <w:rPr>
      <w:sz w:val="18"/>
      <w:szCs w:val="18"/>
    </w:rPr>
  </w:style>
  <w:style w:type="character" w:customStyle="1" w:styleId="Char0">
    <w:name w:val="页脚 Char"/>
    <w:basedOn w:val="a0"/>
    <w:link w:val="a5"/>
    <w:rsid w:val="002269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46</TotalTime>
  <Pages>5</Pages>
  <Words>412</Words>
  <Characters>2351</Characters>
  <Application>Microsoft Office Word</Application>
  <DocSecurity>0</DocSecurity>
  <Lines>19</Lines>
  <Paragraphs>5</Paragraphs>
  <ScaleCrop>false</ScaleCrop>
  <Company>Lenovo</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admin1</cp:lastModifiedBy>
  <cp:revision>3</cp:revision>
  <dcterms:created xsi:type="dcterms:W3CDTF">2018-06-12T01:56:00Z</dcterms:created>
  <dcterms:modified xsi:type="dcterms:W3CDTF">2018-06-27T01:31:00Z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