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1" w:rsidRDefault="002F4DF1">
      <w:pPr>
        <w:jc w:val="center"/>
        <w:rPr>
          <w:b/>
          <w:bCs/>
          <w:sz w:val="40"/>
          <w:szCs w:val="48"/>
        </w:rPr>
      </w:pPr>
    </w:p>
    <w:p w:rsidR="002F4DF1" w:rsidRDefault="00F41D5B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CFA</w:t>
      </w:r>
      <w:r>
        <w:rPr>
          <w:rFonts w:hint="eastAsia"/>
          <w:b/>
          <w:bCs/>
          <w:sz w:val="32"/>
          <w:szCs w:val="40"/>
        </w:rPr>
        <w:t>培养目标及课程方案</w:t>
      </w:r>
    </w:p>
    <w:p w:rsidR="002F4DF1" w:rsidRDefault="00F41D5B">
      <w:pPr>
        <w:rPr>
          <w:b/>
          <w:bCs/>
          <w:sz w:val="28"/>
          <w:szCs w:val="36"/>
        </w:rPr>
      </w:pPr>
      <w:proofErr w:type="gramStart"/>
      <w:r>
        <w:rPr>
          <w:rFonts w:hint="eastAsia"/>
          <w:b/>
          <w:bCs/>
          <w:sz w:val="28"/>
          <w:szCs w:val="36"/>
        </w:rPr>
        <w:t>一</w:t>
      </w:r>
      <w:proofErr w:type="gramEnd"/>
      <w:r>
        <w:rPr>
          <w:rFonts w:hint="eastAsia"/>
          <w:b/>
          <w:bCs/>
          <w:sz w:val="28"/>
          <w:szCs w:val="36"/>
        </w:rPr>
        <w:t>：培养目标</w:t>
      </w:r>
    </w:p>
    <w:p w:rsidR="002F4DF1" w:rsidRDefault="00F41D5B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建设具有商学院特色的CFA创新实验班</w:t>
      </w:r>
    </w:p>
    <w:p w:rsidR="002F4DF1" w:rsidRDefault="00F41D5B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使学生能够娴熟掌握财务金融专业英语听、说、读、写技能。</w:t>
      </w:r>
    </w:p>
    <w:p w:rsidR="002F4DF1" w:rsidRDefault="00F41D5B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使学生</w:t>
      </w:r>
      <w:r>
        <w:rPr>
          <w:rFonts w:ascii="微软雅黑" w:eastAsia="微软雅黑" w:hAnsi="微软雅黑"/>
          <w:sz w:val="24"/>
        </w:rPr>
        <w:t>具有完整国际财务金融知识架构</w:t>
      </w:r>
      <w:r>
        <w:rPr>
          <w:rFonts w:ascii="微软雅黑" w:eastAsia="微软雅黑" w:hAnsi="微软雅黑" w:hint="eastAsia"/>
          <w:sz w:val="24"/>
        </w:rPr>
        <w:t>。</w:t>
      </w:r>
    </w:p>
    <w:p w:rsidR="002F4DF1" w:rsidRDefault="00F41D5B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通过能力架构建设，培养复合型创新人才。</w:t>
      </w:r>
    </w:p>
    <w:p w:rsidR="002F4DF1" w:rsidRDefault="00F41D5B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培养符合中国国情、懂中国准则，同时又具备国际化能力的双型人才</w:t>
      </w:r>
    </w:p>
    <w:p w:rsidR="002F4DF1" w:rsidRDefault="00F41D5B">
      <w:pPr>
        <w:pStyle w:val="1"/>
        <w:spacing w:line="360" w:lineRule="auto"/>
        <w:ind w:left="360" w:firstLineChars="0" w:firstLine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</w:t>
      </w:r>
    </w:p>
    <w:p w:rsidR="002F4DF1" w:rsidRDefault="00F41D5B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二：教学</w:t>
      </w:r>
      <w:r w:rsidR="00176A46">
        <w:rPr>
          <w:rFonts w:hint="eastAsia"/>
          <w:b/>
          <w:bCs/>
          <w:sz w:val="24"/>
          <w:szCs w:val="32"/>
        </w:rPr>
        <w:t>大纲</w:t>
      </w:r>
    </w:p>
    <w:tbl>
      <w:tblPr>
        <w:tblpPr w:leftFromText="180" w:rightFromText="180" w:vertAnchor="text" w:horzAnchor="page" w:tblpXSpec="center" w:tblpY="530"/>
        <w:tblOverlap w:val="never"/>
        <w:tblW w:w="97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3119"/>
        <w:gridCol w:w="1984"/>
        <w:gridCol w:w="2693"/>
      </w:tblGrid>
      <w:tr w:rsidR="002F4DF1" w:rsidTr="004A6F7C">
        <w:trPr>
          <w:trHeight w:val="459"/>
          <w:jc w:val="center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ind w:firstLineChars="1800" w:firstLine="3784"/>
              <w:textAlignment w:val="center"/>
              <w:rPr>
                <w:rFonts w:ascii="华文细黑" w:eastAsia="华文细黑" w:hAnsi="华文细黑" w:cs="华文细黑"/>
                <w:b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课程设置（CFA一级）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课程名称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课程内容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课程名称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课程内容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50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第一学期（前导课程）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第二学期（前导课程）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金融案例课程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（3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时下金融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热点案列</w:t>
            </w:r>
            <w:proofErr w:type="gramEnd"/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解析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财务报表分析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32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会计报表质量分析</w:t>
            </w:r>
          </w:p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会计报表趋势分析</w:t>
            </w:r>
          </w:p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会计报表结构分析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货币时间价值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货币时间价值的含义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终值和限值的计算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 xml:space="preserve"> GTVFR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金融数量方法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数量分析技术</w:t>
            </w:r>
          </w:p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金融理论及应用</w:t>
            </w:r>
          </w:p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金融模型及计算方法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权益投资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24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权益类投资产品类别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权益类投资风险控制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金融计算器使用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另类投资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对冲基金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私募投资基金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风险投资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艺术品投资基金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不动产投资信托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碳减排基金</w:t>
            </w:r>
            <w:proofErr w:type="gramEnd"/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经济学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微观经济学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宏观经济学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国际经济学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固定收益证券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债券合同条款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债券风险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债券的定价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现金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流结构</w:t>
            </w:r>
            <w:proofErr w:type="gramEnd"/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商务沟通方法（线上实务课程）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金融衍生品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基础资产指数</w:t>
            </w:r>
          </w:p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远期、期货、掉期及期权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jc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投资组合管理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投资原理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风险与收益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lastRenderedPageBreak/>
              <w:t>资产分配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单要素市场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jc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伦理与职业标准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适用法律和监管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职业准则和标准</w:t>
            </w:r>
          </w:p>
          <w:p w:rsidR="002F4DF1" w:rsidRDefault="002F4DF1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333333"/>
                <w:sz w:val="24"/>
                <w:shd w:val="clear" w:color="auto" w:fill="FFFFFF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jc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P</w:t>
            </w:r>
            <w:r>
              <w:rPr>
                <w:rStyle w:val="font11"/>
                <w:rFonts w:hint="default"/>
                <w:sz w:val="21"/>
                <w:szCs w:val="21"/>
                <w:lang/>
              </w:rPr>
              <w:t>PT制作（线上实务课程）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jc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演讲技巧（线上实务课程）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50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第三学期（一级正课）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第四学期（一级正课）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金融数量方法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32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利率与资产收益率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数据描述和描述统计学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在资产收益率中的应用</w:t>
            </w:r>
          </w:p>
          <w:p w:rsidR="002F4DF1" w:rsidRDefault="00F41D5B">
            <w:pPr>
              <w:widowControl/>
              <w:textAlignment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置信区间与假设检验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财务报表分析（二）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（48课时）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企业营运能力分析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企业发展趋势分析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企业盈利能力分析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经济学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（48课时）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微观经济学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宏观经济学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国际经济学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公司金融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24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公司的组织形式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股利政策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兼收并购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财务报表分析（</w:t>
            </w:r>
            <w:proofErr w:type="gramStart"/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32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pStyle w:val="HTML"/>
              <w:widowControl/>
              <w:shd w:val="clear" w:color="auto" w:fill="FFFFFF"/>
              <w:spacing w:before="150" w:after="150" w:line="435" w:lineRule="atLeast"/>
              <w:rPr>
                <w:rFonts w:ascii="华文细黑" w:eastAsia="华文细黑" w:hAnsi="华文细黑" w:cs="华文细黑" w:hint="default"/>
                <w:color w:val="333333"/>
                <w:sz w:val="21"/>
                <w:szCs w:val="21"/>
              </w:rPr>
            </w:pPr>
            <w:r>
              <w:rPr>
                <w:rFonts w:ascii="华文细黑" w:eastAsia="华文细黑" w:hAnsi="华文细黑" w:cs="华文细黑"/>
                <w:color w:val="333333"/>
                <w:sz w:val="21"/>
                <w:szCs w:val="21"/>
              </w:rPr>
              <w:t>企业财务结构分析</w:t>
            </w:r>
          </w:p>
          <w:p w:rsidR="002F4DF1" w:rsidRDefault="00F41D5B">
            <w:pPr>
              <w:pStyle w:val="HTML"/>
              <w:widowControl/>
              <w:shd w:val="clear" w:color="auto" w:fill="FFFFFF"/>
              <w:spacing w:before="150" w:after="150" w:line="435" w:lineRule="atLeast"/>
              <w:rPr>
                <w:rFonts w:ascii="华文细黑" w:eastAsia="华文细黑" w:hAnsi="华文细黑" w:cs="华文细黑" w:hint="default"/>
                <w:color w:val="333333"/>
                <w:sz w:val="21"/>
                <w:szCs w:val="21"/>
              </w:rPr>
            </w:pPr>
            <w:r>
              <w:rPr>
                <w:rFonts w:ascii="华文细黑" w:eastAsia="华文细黑" w:hAnsi="华文细黑" w:cs="华文细黑"/>
                <w:color w:val="333333"/>
                <w:sz w:val="21"/>
                <w:szCs w:val="21"/>
              </w:rPr>
              <w:t>企业偿债能力分析</w:t>
            </w:r>
          </w:p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固定收益证券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40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固定收益证券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固定收益品种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固定收益证券投资收入组成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固定收益市场风险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Excel数据分析（线上实务课程）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企业估值与财务建模（线上实务课程）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50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第五学期（一级正课）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2F4DF1" w:rsidRDefault="00F41D5B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华文细黑" w:eastAsia="华文细黑" w:hAnsi="华文细黑" w:cs="华文细黑" w:hint="eastAsia"/>
                <w:b/>
                <w:color w:val="000000"/>
                <w:kern w:val="0"/>
                <w:szCs w:val="21"/>
                <w:lang/>
              </w:rPr>
              <w:t>第六学期（一级复习课）</w:t>
            </w: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伦理与职业标准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32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333333"/>
                <w:szCs w:val="21"/>
                <w:shd w:val="clear" w:color="auto" w:fill="FFFFFF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伦理标准和职业义务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333333"/>
                <w:szCs w:val="21"/>
                <w:shd w:val="clear" w:color="auto" w:fill="FFFFFF"/>
              </w:rPr>
              <w:t>伦理行为的问题识别与管理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金融数量方法+投资组合管理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投资组合管理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风险管理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投资组合风险和收益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投资组合规划和构建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投资组合管理综述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固定收益证券+衍生品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权益投资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32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股票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股票型基金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证券投资型基金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伦理与职业标准+权益投资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金融衍生品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基础资产指数</w:t>
            </w:r>
          </w:p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远期、期货、掉期及期权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经济学+另类投资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另类投资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另类投资风险管控</w:t>
            </w:r>
          </w:p>
          <w:p w:rsidR="002F4DF1" w:rsidRDefault="00F41D5B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杠杆并购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财务报表分析+公司金融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32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宏观与策略分析（线上实务课程）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（8课时）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模拟考试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8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行业研究与公司分析（线上实务课程）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经典习题讲解（直播）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24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  <w:tr w:rsidR="002F4DF1" w:rsidTr="004A6F7C">
        <w:trPr>
          <w:trHeight w:val="454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jc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DF1" w:rsidRDefault="00F41D5B">
            <w:pPr>
              <w:widowControl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求职辅导（线上实务课程）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（</w:t>
            </w:r>
            <w:r w:rsidR="004A6F7C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/>
              </w:rPr>
              <w:t>16</w:t>
            </w:r>
            <w:r w:rsidR="004A6F7C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/>
              </w:rPr>
              <w:t>课时）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4DF1" w:rsidRDefault="002F4DF1">
            <w:pPr>
              <w:widowControl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</w:p>
        </w:tc>
      </w:tr>
    </w:tbl>
    <w:p w:rsidR="002F4DF1" w:rsidRDefault="002F4DF1">
      <w:pPr>
        <w:spacing w:line="360" w:lineRule="auto"/>
        <w:rPr>
          <w:sz w:val="24"/>
          <w:szCs w:val="32"/>
        </w:rPr>
      </w:pPr>
      <w:bookmarkStart w:id="0" w:name="_GoBack"/>
      <w:bookmarkEnd w:id="0"/>
    </w:p>
    <w:p w:rsidR="002F4DF1" w:rsidRDefault="00F41D5B">
      <w:pPr>
        <w:numPr>
          <w:ilvl w:val="0"/>
          <w:numId w:val="2"/>
        </w:num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课程设置（价格</w:t>
      </w:r>
      <w:r>
        <w:rPr>
          <w:rFonts w:hint="eastAsia"/>
          <w:b/>
          <w:bCs/>
          <w:sz w:val="24"/>
          <w:szCs w:val="32"/>
        </w:rPr>
        <w:t>42000</w:t>
      </w:r>
      <w:r>
        <w:rPr>
          <w:rFonts w:hint="eastAsia"/>
          <w:b/>
          <w:bCs/>
          <w:sz w:val="24"/>
          <w:szCs w:val="32"/>
        </w:rPr>
        <w:t>，含教材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</w:rPr>
        <w:t>）</w:t>
      </w:r>
    </w:p>
    <w:p w:rsidR="002F4DF1" w:rsidRDefault="002F4DF1">
      <w:pPr>
        <w:spacing w:line="360" w:lineRule="auto"/>
        <w:rPr>
          <w:b/>
          <w:bCs/>
          <w:sz w:val="24"/>
          <w:szCs w:val="32"/>
        </w:rPr>
      </w:pPr>
    </w:p>
    <w:p w:rsidR="002F4DF1" w:rsidRDefault="00F41D5B">
      <w:pPr>
        <w:spacing w:line="360" w:lineRule="auto"/>
        <w:rPr>
          <w:sz w:val="24"/>
          <w:szCs w:val="32"/>
        </w:rPr>
      </w:pPr>
      <w:r>
        <w:rPr>
          <w:noProof/>
        </w:rPr>
        <w:drawing>
          <wp:inline distT="0" distB="0" distL="114300" distR="114300">
            <wp:extent cx="6165850" cy="452374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F4DF1" w:rsidSect="004A6F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0E" w:rsidRDefault="004F0F0E" w:rsidP="00176A46">
      <w:r>
        <w:separator/>
      </w:r>
    </w:p>
  </w:endnote>
  <w:endnote w:type="continuationSeparator" w:id="0">
    <w:p w:rsidR="004F0F0E" w:rsidRDefault="004F0F0E" w:rsidP="0017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0E" w:rsidRDefault="004F0F0E" w:rsidP="00176A46">
      <w:r>
        <w:separator/>
      </w:r>
    </w:p>
  </w:footnote>
  <w:footnote w:type="continuationSeparator" w:id="0">
    <w:p w:rsidR="004F0F0E" w:rsidRDefault="004F0F0E" w:rsidP="00176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D2636"/>
    <w:multiLevelType w:val="singleLevel"/>
    <w:tmpl w:val="E0CD2636"/>
    <w:lvl w:ilvl="0">
      <w:start w:val="3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3550140"/>
    <w:multiLevelType w:val="multilevel"/>
    <w:tmpl w:val="3355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76A46"/>
    <w:rsid w:val="002F4DF1"/>
    <w:rsid w:val="004A6F7C"/>
    <w:rsid w:val="004F0F0E"/>
    <w:rsid w:val="00C41AC7"/>
    <w:rsid w:val="00F41D5B"/>
    <w:rsid w:val="00F84F17"/>
    <w:rsid w:val="031B59A3"/>
    <w:rsid w:val="04487424"/>
    <w:rsid w:val="06EC12FF"/>
    <w:rsid w:val="08F027C5"/>
    <w:rsid w:val="09396410"/>
    <w:rsid w:val="09633245"/>
    <w:rsid w:val="0AC41D74"/>
    <w:rsid w:val="0B28566D"/>
    <w:rsid w:val="17EB6315"/>
    <w:rsid w:val="18080FEE"/>
    <w:rsid w:val="18642183"/>
    <w:rsid w:val="18EF53C1"/>
    <w:rsid w:val="1D48656A"/>
    <w:rsid w:val="1DBA0F48"/>
    <w:rsid w:val="1E686194"/>
    <w:rsid w:val="2CD41AC5"/>
    <w:rsid w:val="2D6B79F5"/>
    <w:rsid w:val="35E2650A"/>
    <w:rsid w:val="370C1266"/>
    <w:rsid w:val="385F3D7E"/>
    <w:rsid w:val="3D660FE5"/>
    <w:rsid w:val="464462D1"/>
    <w:rsid w:val="49242441"/>
    <w:rsid w:val="4B055156"/>
    <w:rsid w:val="515F7C92"/>
    <w:rsid w:val="573E52E2"/>
    <w:rsid w:val="6108739A"/>
    <w:rsid w:val="61EE5CB0"/>
    <w:rsid w:val="6249422F"/>
    <w:rsid w:val="62C32327"/>
    <w:rsid w:val="65607D06"/>
    <w:rsid w:val="6B11666C"/>
    <w:rsid w:val="6C4065A6"/>
    <w:rsid w:val="6E1E7B96"/>
    <w:rsid w:val="77A23E5E"/>
    <w:rsid w:val="77E825BD"/>
    <w:rsid w:val="78062FE6"/>
    <w:rsid w:val="7DC6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A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4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Strong"/>
    <w:basedOn w:val="a0"/>
    <w:qFormat/>
    <w:rsid w:val="00C41AC7"/>
    <w:rPr>
      <w:b/>
    </w:rPr>
  </w:style>
  <w:style w:type="character" w:customStyle="1" w:styleId="font11">
    <w:name w:val="font11"/>
    <w:basedOn w:val="a0"/>
    <w:qFormat/>
    <w:rsid w:val="00C41AC7"/>
    <w:rPr>
      <w:rFonts w:ascii="华文细黑" w:eastAsia="华文细黑" w:hAnsi="华文细黑" w:cs="华文细黑" w:hint="eastAsia"/>
      <w:color w:val="000000"/>
      <w:sz w:val="24"/>
      <w:szCs w:val="24"/>
      <w:u w:val="none"/>
    </w:rPr>
  </w:style>
  <w:style w:type="paragraph" w:customStyle="1" w:styleId="1">
    <w:name w:val="列出段落1"/>
    <w:basedOn w:val="a"/>
    <w:uiPriority w:val="34"/>
    <w:qFormat/>
    <w:rsid w:val="00C41AC7"/>
    <w:pPr>
      <w:ind w:firstLineChars="200" w:firstLine="420"/>
    </w:pPr>
  </w:style>
  <w:style w:type="paragraph" w:styleId="a4">
    <w:name w:val="List Paragraph"/>
    <w:basedOn w:val="a"/>
    <w:uiPriority w:val="34"/>
    <w:qFormat/>
    <w:rsid w:val="00C41AC7"/>
    <w:pPr>
      <w:ind w:firstLineChars="200" w:firstLine="420"/>
    </w:pPr>
  </w:style>
  <w:style w:type="paragraph" w:styleId="a5">
    <w:name w:val="header"/>
    <w:basedOn w:val="a"/>
    <w:link w:val="Char"/>
    <w:rsid w:val="0017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6A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7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6A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176A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176A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A6653-9B21-4BCA-87FC-B96A2640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高顿</dc:creator>
  <cp:lastModifiedBy>admin1</cp:lastModifiedBy>
  <cp:revision>7</cp:revision>
  <dcterms:created xsi:type="dcterms:W3CDTF">2018-07-02T07:42:00Z</dcterms:created>
  <dcterms:modified xsi:type="dcterms:W3CDTF">2018-07-06T02:42:00Z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