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F1" w:rsidRDefault="002F4DF1">
      <w:pPr>
        <w:jc w:val="center"/>
        <w:rPr>
          <w:b/>
          <w:bCs/>
          <w:sz w:val="40"/>
          <w:szCs w:val="48"/>
        </w:rPr>
      </w:pPr>
    </w:p>
    <w:p w:rsidR="002F4DF1" w:rsidRDefault="00F41D5B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CFA</w:t>
      </w:r>
      <w:r>
        <w:rPr>
          <w:rFonts w:hint="eastAsia"/>
          <w:b/>
          <w:bCs/>
          <w:sz w:val="32"/>
          <w:szCs w:val="40"/>
        </w:rPr>
        <w:t>培养目标及课程方案</w:t>
      </w:r>
    </w:p>
    <w:p w:rsidR="002F4DF1" w:rsidRDefault="00F41D5B">
      <w:pPr>
        <w:rPr>
          <w:b/>
          <w:bCs/>
          <w:sz w:val="28"/>
          <w:szCs w:val="36"/>
        </w:rPr>
      </w:pPr>
      <w:proofErr w:type="gramStart"/>
      <w:r>
        <w:rPr>
          <w:rFonts w:hint="eastAsia"/>
          <w:b/>
          <w:bCs/>
          <w:sz w:val="28"/>
          <w:szCs w:val="36"/>
        </w:rPr>
        <w:t>一</w:t>
      </w:r>
      <w:proofErr w:type="gramEnd"/>
      <w:r>
        <w:rPr>
          <w:rFonts w:hint="eastAsia"/>
          <w:b/>
          <w:bCs/>
          <w:sz w:val="28"/>
          <w:szCs w:val="36"/>
        </w:rPr>
        <w:t>：培养目标</w:t>
      </w:r>
    </w:p>
    <w:p w:rsidR="002F4DF1" w:rsidRDefault="00F41D5B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建设具有商学院特色的CFA创新实验班</w:t>
      </w:r>
    </w:p>
    <w:p w:rsidR="002F4DF1" w:rsidRDefault="00F41D5B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使学生能够娴熟掌握财务金融专业英语听、说、读、写技能。</w:t>
      </w:r>
    </w:p>
    <w:p w:rsidR="002F4DF1" w:rsidRDefault="00F41D5B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使学生</w:t>
      </w:r>
      <w:r>
        <w:rPr>
          <w:rFonts w:ascii="微软雅黑" w:eastAsia="微软雅黑" w:hAnsi="微软雅黑"/>
          <w:sz w:val="24"/>
        </w:rPr>
        <w:t>具有完整国际财务金融知识架构</w:t>
      </w:r>
      <w:r>
        <w:rPr>
          <w:rFonts w:ascii="微软雅黑" w:eastAsia="微软雅黑" w:hAnsi="微软雅黑" w:hint="eastAsia"/>
          <w:sz w:val="24"/>
        </w:rPr>
        <w:t>。</w:t>
      </w:r>
    </w:p>
    <w:p w:rsidR="002F4DF1" w:rsidRDefault="00F41D5B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通过能力架构建设，培养复合型创新人才。</w:t>
      </w:r>
    </w:p>
    <w:p w:rsidR="002F4DF1" w:rsidRDefault="00F41D5B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培养符合中国国情、懂中国准则，同时又具备国际化能力的双型人才</w:t>
      </w:r>
    </w:p>
    <w:p w:rsidR="002F4DF1" w:rsidRDefault="00F41D5B">
      <w:pPr>
        <w:pStyle w:val="1"/>
        <w:spacing w:line="360" w:lineRule="auto"/>
        <w:ind w:left="360" w:firstLineChars="0" w:firstLine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      </w:t>
      </w:r>
    </w:p>
    <w:p w:rsidR="002F4DF1" w:rsidRDefault="00F41D5B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二：教学</w:t>
      </w:r>
      <w:r w:rsidR="00176A46">
        <w:rPr>
          <w:rFonts w:hint="eastAsia"/>
          <w:b/>
          <w:bCs/>
          <w:sz w:val="24"/>
          <w:szCs w:val="32"/>
        </w:rPr>
        <w:t>大纲</w:t>
      </w:r>
    </w:p>
    <w:tbl>
      <w:tblPr>
        <w:tblpPr w:leftFromText="180" w:rightFromText="180" w:vertAnchor="text" w:horzAnchor="page" w:tblpXSpec="center" w:tblpY="530"/>
        <w:tblOverlap w:val="never"/>
        <w:tblW w:w="97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3119"/>
        <w:gridCol w:w="1984"/>
        <w:gridCol w:w="2693"/>
      </w:tblGrid>
      <w:tr w:rsidR="002F4DF1" w:rsidTr="004A6F7C">
        <w:trPr>
          <w:trHeight w:val="459"/>
          <w:jc w:val="center"/>
        </w:trPr>
        <w:tc>
          <w:tcPr>
            <w:tcW w:w="97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ind w:firstLineChars="1800" w:firstLine="3784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color w:val="000000"/>
                <w:kern w:val="0"/>
                <w:szCs w:val="21"/>
                <w:lang/>
              </w:rPr>
              <w:t>课程设置（CFA一级）</w:t>
            </w: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课程名称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课程内容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课程名称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课程内容</w:t>
            </w:r>
          </w:p>
        </w:tc>
      </w:tr>
      <w:tr w:rsidR="002F4DF1" w:rsidTr="004A6F7C">
        <w:trPr>
          <w:trHeight w:val="454"/>
          <w:jc w:val="center"/>
        </w:trPr>
        <w:tc>
          <w:tcPr>
            <w:tcW w:w="50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华文细黑" w:eastAsia="华文细黑" w:hAnsi="华文细黑" w:cs="华文细黑" w:hint="eastAsia"/>
                <w:b/>
                <w:color w:val="000000"/>
                <w:kern w:val="0"/>
                <w:szCs w:val="21"/>
                <w:lang/>
              </w:rPr>
              <w:t>第一学期（前导课程）</w:t>
            </w:r>
          </w:p>
        </w:tc>
        <w:tc>
          <w:tcPr>
            <w:tcW w:w="4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华文细黑" w:eastAsia="华文细黑" w:hAnsi="华文细黑" w:cs="华文细黑" w:hint="eastAsia"/>
                <w:b/>
                <w:color w:val="000000"/>
                <w:kern w:val="0"/>
                <w:szCs w:val="21"/>
                <w:lang/>
              </w:rPr>
              <w:t>第二学期（前导课程）</w:t>
            </w: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金融案例课程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（3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2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时下金融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热点案列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解析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财务报表分析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32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会计报表质量分析</w:t>
            </w:r>
          </w:p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会计报表趋势分析</w:t>
            </w:r>
          </w:p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会计报表结构分析</w:t>
            </w: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货币时间价值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（8课时）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货币时间价值的含义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终值和限值的计算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 xml:space="preserve"> GTVFR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（8课时）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金融数量方法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16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数量分析技术</w:t>
            </w:r>
          </w:p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金融理论及应用</w:t>
            </w:r>
          </w:p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金融模型及计算方法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权益投资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24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权益类投资产品类别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权益类投资风险控制</w:t>
            </w: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金融计算器使用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（8课时）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另类投资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（8课时）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对冲基金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私募投资基金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风险投资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艺术品投资基金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不动产投资信托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碳减排基金</w:t>
            </w:r>
            <w:proofErr w:type="gramEnd"/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经济学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16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微观经济学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宏观经济学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国际经济学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固定收益证券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（8课时）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债券合同条款</w:t>
            </w:r>
          </w:p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债券风险</w:t>
            </w:r>
          </w:p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债券的定价</w:t>
            </w:r>
          </w:p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现金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流结构</w:t>
            </w:r>
            <w:proofErr w:type="gramEnd"/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商务沟通方法（线上实务课程）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16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金融衍生品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（8课时）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基础资产指数</w:t>
            </w:r>
          </w:p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远期、期货、掉期及期权</w:t>
            </w: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投资组合管理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（8课时）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投资原理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风险与收益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lastRenderedPageBreak/>
              <w:t>资产分配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单要素市场</w:t>
            </w: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伦理与职业标准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16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333333"/>
                <w:szCs w:val="21"/>
                <w:shd w:val="clear" w:color="auto" w:fill="FFFFFF"/>
              </w:rPr>
            </w:pPr>
            <w:r>
              <w:rPr>
                <w:rFonts w:ascii="华文细黑" w:eastAsia="华文细黑" w:hAnsi="华文细黑" w:cs="华文细黑" w:hint="eastAsia"/>
                <w:color w:val="333333"/>
                <w:szCs w:val="21"/>
                <w:shd w:val="clear" w:color="auto" w:fill="FFFFFF"/>
              </w:rPr>
              <w:t>适用法律和监管</w:t>
            </w:r>
          </w:p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333333"/>
                <w:szCs w:val="21"/>
                <w:shd w:val="clear" w:color="auto" w:fill="FFFFFF"/>
              </w:rPr>
            </w:pPr>
            <w:r>
              <w:rPr>
                <w:rFonts w:ascii="华文细黑" w:eastAsia="华文细黑" w:hAnsi="华文细黑" w:cs="华文细黑" w:hint="eastAsia"/>
                <w:color w:val="333333"/>
                <w:szCs w:val="21"/>
                <w:shd w:val="clear" w:color="auto" w:fill="FFFFFF"/>
              </w:rPr>
              <w:t>职业准则和标准</w:t>
            </w:r>
          </w:p>
          <w:p w:rsidR="002F4DF1" w:rsidRDefault="002F4DF1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333333"/>
                <w:sz w:val="24"/>
                <w:shd w:val="clear" w:color="auto" w:fill="FFFFFF"/>
              </w:rPr>
            </w:pP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P</w:t>
            </w:r>
            <w:r>
              <w:rPr>
                <w:rStyle w:val="font11"/>
                <w:rFonts w:hint="default"/>
                <w:sz w:val="21"/>
                <w:szCs w:val="21"/>
                <w:lang/>
              </w:rPr>
              <w:t>PT制作（线上实务课程）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（8课时）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演讲技巧（线上实务课程）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（8课时）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</w:tr>
      <w:tr w:rsidR="002F4DF1" w:rsidTr="004A6F7C">
        <w:trPr>
          <w:trHeight w:val="454"/>
          <w:jc w:val="center"/>
        </w:trPr>
        <w:tc>
          <w:tcPr>
            <w:tcW w:w="50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华文细黑" w:eastAsia="华文细黑" w:hAnsi="华文细黑" w:cs="华文细黑" w:hint="eastAsia"/>
                <w:b/>
                <w:color w:val="000000"/>
                <w:kern w:val="0"/>
                <w:szCs w:val="21"/>
                <w:lang/>
              </w:rPr>
              <w:t>第三学期（一级正课）</w:t>
            </w:r>
          </w:p>
        </w:tc>
        <w:tc>
          <w:tcPr>
            <w:tcW w:w="4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华文细黑" w:eastAsia="华文细黑" w:hAnsi="华文细黑" w:cs="华文细黑" w:hint="eastAsia"/>
                <w:b/>
                <w:color w:val="000000"/>
                <w:kern w:val="0"/>
                <w:szCs w:val="21"/>
                <w:lang/>
              </w:rPr>
              <w:t>第四学期（一级正课）</w:t>
            </w: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金融数量方法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32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333333"/>
                <w:szCs w:val="21"/>
                <w:shd w:val="clear" w:color="auto" w:fill="FFFFFF"/>
              </w:rPr>
            </w:pPr>
            <w:r>
              <w:rPr>
                <w:rFonts w:ascii="华文细黑" w:eastAsia="华文细黑" w:hAnsi="华文细黑" w:cs="华文细黑" w:hint="eastAsia"/>
                <w:color w:val="333333"/>
                <w:szCs w:val="21"/>
                <w:shd w:val="clear" w:color="auto" w:fill="FFFFFF"/>
              </w:rPr>
              <w:t>利率与资产收益率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333333"/>
                <w:szCs w:val="21"/>
                <w:shd w:val="clear" w:color="auto" w:fill="FFFFFF"/>
              </w:rPr>
            </w:pPr>
            <w:r>
              <w:rPr>
                <w:rFonts w:ascii="华文细黑" w:eastAsia="华文细黑" w:hAnsi="华文细黑" w:cs="华文细黑" w:hint="eastAsia"/>
                <w:color w:val="333333"/>
                <w:szCs w:val="21"/>
                <w:shd w:val="clear" w:color="auto" w:fill="FFFFFF"/>
              </w:rPr>
              <w:t>数据描述和描述统计学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333333"/>
                <w:szCs w:val="21"/>
                <w:shd w:val="clear" w:color="auto" w:fill="FFFFFF"/>
              </w:rPr>
            </w:pPr>
            <w:r>
              <w:rPr>
                <w:rFonts w:ascii="华文细黑" w:eastAsia="华文细黑" w:hAnsi="华文细黑" w:cs="华文细黑" w:hint="eastAsia"/>
                <w:color w:val="333333"/>
                <w:szCs w:val="21"/>
                <w:shd w:val="clear" w:color="auto" w:fill="FFFFFF"/>
              </w:rPr>
              <w:t>在资产收益率中的应用</w:t>
            </w:r>
          </w:p>
          <w:p w:rsidR="002F4DF1" w:rsidRDefault="00F41D5B">
            <w:pPr>
              <w:widowControl/>
              <w:textAlignment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华文细黑" w:eastAsia="华文细黑" w:hAnsi="华文细黑" w:cs="华文细黑" w:hint="eastAsia"/>
                <w:color w:val="333333"/>
                <w:szCs w:val="21"/>
                <w:shd w:val="clear" w:color="auto" w:fill="FFFFFF"/>
              </w:rPr>
              <w:t>置信区间与假设检验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财务报表分析（二）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（48课时）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企业营运能力分析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企业发展趋势分析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企业盈利能力分析</w:t>
            </w: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经济学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（48课时）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微观经济学</w:t>
            </w:r>
          </w:p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宏观经济学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国际经济学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公司金融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24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公司的组织形式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股利政策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兼收并购</w:t>
            </w: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财务报表分析（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一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）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32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pStyle w:val="HTML"/>
              <w:widowControl/>
              <w:shd w:val="clear" w:color="auto" w:fill="FFFFFF"/>
              <w:spacing w:before="150" w:after="150" w:line="435" w:lineRule="atLeast"/>
              <w:rPr>
                <w:rFonts w:ascii="华文细黑" w:eastAsia="华文细黑" w:hAnsi="华文细黑" w:cs="华文细黑" w:hint="default"/>
                <w:color w:val="333333"/>
                <w:sz w:val="21"/>
                <w:szCs w:val="21"/>
              </w:rPr>
            </w:pPr>
            <w:r>
              <w:rPr>
                <w:rFonts w:ascii="华文细黑" w:eastAsia="华文细黑" w:hAnsi="华文细黑" w:cs="华文细黑"/>
                <w:color w:val="333333"/>
                <w:sz w:val="21"/>
                <w:szCs w:val="21"/>
              </w:rPr>
              <w:t>企业财务结构分析</w:t>
            </w:r>
          </w:p>
          <w:p w:rsidR="002F4DF1" w:rsidRDefault="00F41D5B">
            <w:pPr>
              <w:pStyle w:val="HTML"/>
              <w:widowControl/>
              <w:shd w:val="clear" w:color="auto" w:fill="FFFFFF"/>
              <w:spacing w:before="150" w:after="150" w:line="435" w:lineRule="atLeast"/>
              <w:rPr>
                <w:rFonts w:ascii="华文细黑" w:eastAsia="华文细黑" w:hAnsi="华文细黑" w:cs="华文细黑" w:hint="default"/>
                <w:color w:val="333333"/>
                <w:sz w:val="21"/>
                <w:szCs w:val="21"/>
              </w:rPr>
            </w:pPr>
            <w:r>
              <w:rPr>
                <w:rFonts w:ascii="华文细黑" w:eastAsia="华文细黑" w:hAnsi="华文细黑" w:cs="华文细黑"/>
                <w:color w:val="333333"/>
                <w:sz w:val="21"/>
                <w:szCs w:val="21"/>
              </w:rPr>
              <w:t>企业偿债能力分析</w:t>
            </w:r>
          </w:p>
          <w:p w:rsidR="002F4DF1" w:rsidRDefault="002F4DF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固定收益证券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40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固定收益证券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固定收益品种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固定收益证券投资收入组成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固定收益市场风险</w:t>
            </w: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Excel数据分析（线上实务课程）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16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企业估值与财务建模（线上实务课程）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16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</w:tr>
      <w:tr w:rsidR="002F4DF1" w:rsidTr="004A6F7C">
        <w:trPr>
          <w:trHeight w:val="454"/>
          <w:jc w:val="center"/>
        </w:trPr>
        <w:tc>
          <w:tcPr>
            <w:tcW w:w="50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华文细黑" w:eastAsia="华文细黑" w:hAnsi="华文细黑" w:cs="华文细黑" w:hint="eastAsia"/>
                <w:b/>
                <w:color w:val="000000"/>
                <w:kern w:val="0"/>
                <w:szCs w:val="21"/>
                <w:lang/>
              </w:rPr>
              <w:t>第五学期（一级正课）</w:t>
            </w:r>
          </w:p>
        </w:tc>
        <w:tc>
          <w:tcPr>
            <w:tcW w:w="4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2F4DF1" w:rsidRDefault="00F41D5B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华文细黑" w:eastAsia="华文细黑" w:hAnsi="华文细黑" w:cs="华文细黑" w:hint="eastAsia"/>
                <w:b/>
                <w:color w:val="000000"/>
                <w:kern w:val="0"/>
                <w:szCs w:val="21"/>
                <w:lang/>
              </w:rPr>
              <w:t>第六学期（一级复习课）</w:t>
            </w: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伦理与职业标准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32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333333"/>
                <w:szCs w:val="21"/>
                <w:shd w:val="clear" w:color="auto" w:fill="FFFFFF"/>
              </w:rPr>
            </w:pPr>
            <w:r>
              <w:rPr>
                <w:rFonts w:ascii="华文细黑" w:eastAsia="华文细黑" w:hAnsi="华文细黑" w:cs="华文细黑" w:hint="eastAsia"/>
                <w:color w:val="333333"/>
                <w:szCs w:val="21"/>
                <w:shd w:val="clear" w:color="auto" w:fill="FFFFFF"/>
              </w:rPr>
              <w:t>伦理标准和职业义务</w:t>
            </w:r>
          </w:p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333333"/>
                <w:szCs w:val="21"/>
                <w:shd w:val="clear" w:color="auto" w:fill="FFFFFF"/>
              </w:rPr>
              <w:t>伦理行为的问题识别与管理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金融数量方法+投资组合管理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16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投资组合管理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16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风险管理</w:t>
            </w:r>
          </w:p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投资组合风险和收益</w:t>
            </w:r>
          </w:p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投资组合规划和构建</w:t>
            </w:r>
          </w:p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投资组合管理综述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固定收益证券+衍生品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16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权益投资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32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股票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股票型基金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证券投资型基金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伦理与职业标准+权益投资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16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金融衍生品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16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基础资产指数</w:t>
            </w:r>
          </w:p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远期、期货、掉期及期权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经济学+另类投资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16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另类投资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（8课时）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另类投资风险管控</w:t>
            </w:r>
          </w:p>
          <w:p w:rsidR="002F4DF1" w:rsidRDefault="00F41D5B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杠杆并购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财务报表分析+公司金融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32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宏观与策略分析（线上实务课程）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（8课时）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模拟考试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8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行业研究与公司分析（线上实务课程）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16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经典习题讲解（直播）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24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</w:tr>
      <w:tr w:rsidR="002F4DF1" w:rsidTr="004A6F7C">
        <w:trPr>
          <w:trHeight w:val="4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F1" w:rsidRDefault="00F41D5B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求职辅导（线上实务课程）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（</w:t>
            </w:r>
            <w:r w:rsidR="004A6F7C">
              <w:rPr>
                <w:rFonts w:ascii="华文细黑" w:eastAsia="华文细黑" w:hAnsi="华文细黑" w:cs="华文细黑"/>
                <w:color w:val="000000"/>
                <w:kern w:val="0"/>
                <w:szCs w:val="21"/>
                <w:lang/>
              </w:rPr>
              <w:t>16</w:t>
            </w:r>
            <w:r w:rsidR="004A6F7C"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  <w:lang/>
              </w:rPr>
              <w:t>课时）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4DF1" w:rsidRDefault="002F4DF1">
            <w:pPr>
              <w:widowControl/>
              <w:textAlignment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</w:tr>
    </w:tbl>
    <w:p w:rsidR="002F4DF1" w:rsidRDefault="002F4DF1">
      <w:pPr>
        <w:spacing w:line="360" w:lineRule="auto"/>
        <w:rPr>
          <w:sz w:val="24"/>
          <w:szCs w:val="32"/>
        </w:rPr>
      </w:pPr>
      <w:bookmarkStart w:id="0" w:name="_GoBack"/>
      <w:bookmarkEnd w:id="0"/>
    </w:p>
    <w:p w:rsidR="002F4DF1" w:rsidRDefault="00F41D5B">
      <w:pPr>
        <w:numPr>
          <w:ilvl w:val="0"/>
          <w:numId w:val="2"/>
        </w:num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课程设置（价格</w:t>
      </w:r>
      <w:r>
        <w:rPr>
          <w:rFonts w:hint="eastAsia"/>
          <w:b/>
          <w:bCs/>
          <w:sz w:val="24"/>
          <w:szCs w:val="32"/>
        </w:rPr>
        <w:t>42000</w:t>
      </w:r>
      <w:r>
        <w:rPr>
          <w:rFonts w:hint="eastAsia"/>
          <w:b/>
          <w:bCs/>
          <w:sz w:val="24"/>
          <w:szCs w:val="32"/>
        </w:rPr>
        <w:t>，含教材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>）</w:t>
      </w:r>
    </w:p>
    <w:p w:rsidR="002F4DF1" w:rsidRDefault="002F4DF1">
      <w:pPr>
        <w:spacing w:line="360" w:lineRule="auto"/>
        <w:rPr>
          <w:b/>
          <w:bCs/>
          <w:sz w:val="24"/>
          <w:szCs w:val="32"/>
        </w:rPr>
      </w:pPr>
    </w:p>
    <w:p w:rsidR="002F4DF1" w:rsidRDefault="00F41D5B">
      <w:pPr>
        <w:spacing w:line="360" w:lineRule="auto"/>
        <w:rPr>
          <w:sz w:val="24"/>
          <w:szCs w:val="32"/>
        </w:rPr>
      </w:pPr>
      <w:r>
        <w:rPr>
          <w:noProof/>
        </w:rPr>
        <w:drawing>
          <wp:inline distT="0" distB="0" distL="114300" distR="114300">
            <wp:extent cx="6165850" cy="452374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52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2F4DF1" w:rsidSect="004A6F7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0E" w:rsidRDefault="004F0F0E" w:rsidP="00176A46">
      <w:r>
        <w:separator/>
      </w:r>
    </w:p>
  </w:endnote>
  <w:endnote w:type="continuationSeparator" w:id="0">
    <w:p w:rsidR="004F0F0E" w:rsidRDefault="004F0F0E" w:rsidP="00176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0E" w:rsidRDefault="004F0F0E" w:rsidP="00176A46">
      <w:r>
        <w:separator/>
      </w:r>
    </w:p>
  </w:footnote>
  <w:footnote w:type="continuationSeparator" w:id="0">
    <w:p w:rsidR="004F0F0E" w:rsidRDefault="004F0F0E" w:rsidP="00176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CD2636"/>
    <w:multiLevelType w:val="singleLevel"/>
    <w:tmpl w:val="E0CD2636"/>
    <w:lvl w:ilvl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33550140"/>
    <w:multiLevelType w:val="multilevel"/>
    <w:tmpl w:val="33550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76A46"/>
    <w:rsid w:val="002F4DF1"/>
    <w:rsid w:val="004A6F7C"/>
    <w:rsid w:val="004F0F0E"/>
    <w:rsid w:val="00C41AC7"/>
    <w:rsid w:val="00F41D5B"/>
    <w:rsid w:val="00F84F17"/>
    <w:rsid w:val="031B59A3"/>
    <w:rsid w:val="04487424"/>
    <w:rsid w:val="06EC12FF"/>
    <w:rsid w:val="08F027C5"/>
    <w:rsid w:val="09396410"/>
    <w:rsid w:val="09633245"/>
    <w:rsid w:val="0AC41D74"/>
    <w:rsid w:val="0B28566D"/>
    <w:rsid w:val="17EB6315"/>
    <w:rsid w:val="18080FEE"/>
    <w:rsid w:val="18642183"/>
    <w:rsid w:val="18EF53C1"/>
    <w:rsid w:val="1D48656A"/>
    <w:rsid w:val="1DBA0F48"/>
    <w:rsid w:val="1E686194"/>
    <w:rsid w:val="2CD41AC5"/>
    <w:rsid w:val="2D6B79F5"/>
    <w:rsid w:val="35E2650A"/>
    <w:rsid w:val="370C1266"/>
    <w:rsid w:val="385F3D7E"/>
    <w:rsid w:val="3D660FE5"/>
    <w:rsid w:val="464462D1"/>
    <w:rsid w:val="49242441"/>
    <w:rsid w:val="4B055156"/>
    <w:rsid w:val="515F7C92"/>
    <w:rsid w:val="573E52E2"/>
    <w:rsid w:val="6108739A"/>
    <w:rsid w:val="61EE5CB0"/>
    <w:rsid w:val="6249422F"/>
    <w:rsid w:val="62C32327"/>
    <w:rsid w:val="65607D06"/>
    <w:rsid w:val="6B11666C"/>
    <w:rsid w:val="6C4065A6"/>
    <w:rsid w:val="6E1E7B96"/>
    <w:rsid w:val="77A23E5E"/>
    <w:rsid w:val="77E825BD"/>
    <w:rsid w:val="78062FE6"/>
    <w:rsid w:val="7DC6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A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41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3">
    <w:name w:val="Strong"/>
    <w:basedOn w:val="a0"/>
    <w:qFormat/>
    <w:rsid w:val="00C41AC7"/>
    <w:rPr>
      <w:b/>
    </w:rPr>
  </w:style>
  <w:style w:type="character" w:customStyle="1" w:styleId="font11">
    <w:name w:val="font11"/>
    <w:basedOn w:val="a0"/>
    <w:qFormat/>
    <w:rsid w:val="00C41AC7"/>
    <w:rPr>
      <w:rFonts w:ascii="华文细黑" w:eastAsia="华文细黑" w:hAnsi="华文细黑" w:cs="华文细黑" w:hint="eastAsia"/>
      <w:color w:val="000000"/>
      <w:sz w:val="24"/>
      <w:szCs w:val="24"/>
      <w:u w:val="none"/>
    </w:rPr>
  </w:style>
  <w:style w:type="paragraph" w:customStyle="1" w:styleId="1">
    <w:name w:val="列出段落1"/>
    <w:basedOn w:val="a"/>
    <w:uiPriority w:val="34"/>
    <w:qFormat/>
    <w:rsid w:val="00C41AC7"/>
    <w:pPr>
      <w:ind w:firstLineChars="200" w:firstLine="420"/>
    </w:pPr>
  </w:style>
  <w:style w:type="paragraph" w:styleId="a4">
    <w:name w:val="List Paragraph"/>
    <w:basedOn w:val="a"/>
    <w:uiPriority w:val="34"/>
    <w:qFormat/>
    <w:rsid w:val="00C41AC7"/>
    <w:pPr>
      <w:ind w:firstLineChars="200" w:firstLine="420"/>
    </w:pPr>
  </w:style>
  <w:style w:type="paragraph" w:styleId="a5">
    <w:name w:val="header"/>
    <w:basedOn w:val="a"/>
    <w:link w:val="Char"/>
    <w:rsid w:val="00176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76A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76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76A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176A46"/>
    <w:rPr>
      <w:sz w:val="18"/>
      <w:szCs w:val="18"/>
    </w:rPr>
  </w:style>
  <w:style w:type="character" w:customStyle="1" w:styleId="Char1">
    <w:name w:val="批注框文本 Char"/>
    <w:basedOn w:val="a0"/>
    <w:link w:val="a7"/>
    <w:rsid w:val="00176A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A6653-9B21-4BCA-87FC-B96A2640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高顿</dc:creator>
  <cp:lastModifiedBy>admin1</cp:lastModifiedBy>
  <cp:revision>7</cp:revision>
  <dcterms:created xsi:type="dcterms:W3CDTF">2018-07-02T07:42:00Z</dcterms:created>
  <dcterms:modified xsi:type="dcterms:W3CDTF">2018-07-06T02:42:00Z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